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Foetus et nouveau-né de faible poids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Gold,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2225857075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nouveau-né dysmature/ faible poid/ </w:t>
            </w:r>
          </w:p>
        </w:tc>
      </w:tr>
    </w:tbl>
    <w:p>
      <w:pPr>
        <w:pStyle w:val="Heading3"/>
      </w:pPr>
      <w:r>
        <w:t>Résumé :</w:t>
      </w:r>
    </w:p>
    <w:p>
      <w:r>
        <w:t>cette deuxième édition a fait l'objet d'un remaniement profond sans toutefois en modifier l'esprit général et les objectifs. L'ensemble des chapitres ont été enrichis et entièrement actualisés ; plus particulièrement la thermorégulation, le métabolisme phosphocalcique, la physiologie et la pathologie du rein et du milieu intérieur, le système nerveux central, les défenses anti-infectieuses qui ont été totalement remis à jour. Conçu par des cliniciens pédiatres et obstétriciens, témoignant également de leur expérience personnelle, cet ouvrage s'adresse aux étudiants et aux jeunes praticiens de ces disciplines ainsi qu'au personnel paramédical, sages-femmes et puéricultrices notamment, prenant en charge les nouveau-nés à risque élevé.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