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béton armé aux etats limites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Kebaili, Bachir/ </w:t>
            </w:r>
          </w:p>
        </w:tc>
      </w:tr>
      <w:tr>
        <w:trPr>
          <w:trHeight w:val="567"/>
        </w:trPr>
        <w:tc>
          <w:tcPr>
            <w:tcW w:type="dxa" w:w="3000"/>
          </w:tcPr>
          <w:p>
            <w:r>
              <w:t>Edition</w:t>
            </w:r>
          </w:p>
        </w:tc>
        <w:tc>
          <w:tcPr>
            <w:tcW w:type="dxa" w:w="7000"/>
          </w:tcPr>
          <w:p>
            <w:r>
              <w:t>1re ed.</w:t>
            </w:r>
          </w:p>
        </w:tc>
      </w:tr>
      <w:tr>
        <w:trPr>
          <w:trHeight w:val="567"/>
        </w:trPr>
        <w:tc>
          <w:tcPr>
            <w:tcW w:type="dxa" w:w="3000"/>
          </w:tcPr>
          <w:p>
            <w:r>
              <w:t>Adresse bib.</w:t>
            </w:r>
          </w:p>
        </w:tc>
        <w:tc>
          <w:tcPr>
            <w:tcW w:type="dxa" w:w="7000"/>
          </w:tcPr>
          <w:p>
            <w:r>
              <w:t xml:space="preserve">Université Badji Mokhtar/ </w:t>
            </w:r>
          </w:p>
        </w:tc>
      </w:tr>
      <w:tr>
        <w:trPr>
          <w:trHeight w:val="567"/>
        </w:trPr>
        <w:tc>
          <w:tcPr>
            <w:tcW w:type="dxa" w:w="3000"/>
          </w:tcPr>
          <w:p>
            <w:r>
              <w:t>Nombre de Pages</w:t>
            </w:r>
          </w:p>
        </w:tc>
        <w:tc>
          <w:tcPr>
            <w:tcW w:type="dxa" w:w="7000"/>
          </w:tcPr>
          <w:p>
            <w:r>
              <w:t>184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annexe</w:t>
            </w:r>
          </w:p>
        </w:tc>
      </w:tr>
      <w:tr>
        <w:trPr>
          <w:trHeight w:val="567"/>
        </w:trPr>
        <w:tc>
          <w:tcPr>
            <w:tcW w:type="dxa" w:w="3000"/>
          </w:tcPr>
          <w:p>
            <w:r>
              <w:t>Numéro d'Identification</w:t>
            </w:r>
          </w:p>
        </w:tc>
        <w:tc>
          <w:tcPr>
            <w:tcW w:type="dxa" w:w="7000"/>
          </w:tcPr>
          <w:p>
            <w:r>
              <w:t>9789961899267</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BAEL 91/ dimensionnement/ Armatures longitudinales/ Calcul réglementaire/ </w:t>
            </w:r>
          </w:p>
        </w:tc>
      </w:tr>
    </w:tbl>
    <w:p>
      <w:pPr>
        <w:pStyle w:val="Heading3"/>
      </w:pPr>
      <w:r>
        <w:t>Résumé :</w:t>
      </w:r>
    </w:p>
    <w:p>
      <w:r>
        <w:t>Ce livre présente de manière méthodique le calcul des structures en béton armé selon l’approche aux états limites, conformément aux règles BAEL 91, longtemps utilisées dans la pratique du génie civil en France et dans plusieurs pays francophones.</w:t>
        <w:br/>
        <w:br/>
        <w:t>L’ouvrage commence par rappeler les principes fondamentaux du béton armé, les propriétés mécaniques du béton et de l’acier, ainsi que les hypothèses de calcul adoptées par le BAEL. Il introduit ensuite la notion essentielle des états limites, en distinguant :</w:t>
        <w:br/>
        <w:br/>
        <w:t>les États Limites Ultimes (ELU), liés à la sécurité et à la résistance,</w:t>
        <w:br/>
        <w:br/>
        <w:t>les États Limites de Service (ELS), liés au confort, à la durabilité et à l’exploitation des ouvrages.</w:t>
        <w:br/>
        <w:br/>
        <w:t>Une large partie du livre est consacrée à la justification des sections à l’ELU. L’auteur développe le calcul des éléments soumis à la flexion simple, à la flexion composée, à l’effort tranchant et à la torsion, en s’appuyant sur les diagrammes contraintes–déformations et sur les modèles réglementaires du BAEL 91. Les méthodes de dimensionnement des armatures longitudinales et transversales sont expliquées pas à pas.</w:t>
        <w:br/>
        <w:br/>
        <w:t>L’ouvrage traite également les vérifications à l’ELS, notamment :</w:t>
        <w:br/>
        <w:br/>
        <w:t>la limitation des contraintes,</w:t>
        <w:br/>
        <w:br/>
        <w:t>le contrôle de la fissuration,</w:t>
        <w:br/>
        <w:br/>
        <w:t>le calcul des déformations et des flèches,</w:t>
        <w:br/>
        <w:br/>
        <w:t>afin d’assurer la durabilité et le bon comportement des structures.</w:t>
        <w:br/>
        <w:br/>
        <w:t>Enfin, le livre insiste sur les dispositions constructives (enrobage, ancrage, recouvrement, ferraillage) et propose plusieurs exemples d’application permettant de relier la théorie à la pratique professionnelle.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