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des déchets et des sous-produits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Murat,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EAP/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Objectifs scientifiques de demain(N°:10)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315-322.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2225696306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utilisation des déchets/ </w:t>
            </w:r>
          </w:p>
        </w:tc>
      </w:tr>
    </w:tbl>
    <w:p>
      <w:pPr>
        <w:pStyle w:val="Heading3"/>
      </w:pPr>
      <w:r>
        <w:t>Résumé :</w:t>
      </w:r>
    </w:p>
    <w:p>
      <w:r>
        <w:t>L’intérêt qui est porté de plus en en plus à la valorisation des déchets et des sous-produits industriels est lié à la crise de l'énergie, à la diminution des ressources mondiales en matière premières et, porte de nombreux pays à la nécessité d'importations de plus en plus coûteuses, à enfin la législation qui devient très sévère concernant la protection de la nature et de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