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High-Performance Comupting in Structural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Adeli, Hojjat/ Soegiarso, Roesdiman/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 LLC/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0849320917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structural Engineering/ high-performance/ </w:t>
            </w:r>
          </w:p>
        </w:tc>
      </w:tr>
    </w:tbl>
    <w:p>
      <w:pPr>
        <w:pStyle w:val="Heading3"/>
      </w:pPr>
      <w:r>
        <w:t>Résumé :</w:t>
      </w:r>
    </w:p>
    <w:p>
      <w:r>
        <w:t>High-performance multiprocessor computers provide new and interesting opportunities to solve large-scale structural engineering problems. However, the development of new computational models and algorithms that exploit the unique architecture of these machines remains a challenge.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