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Transistors à effet de champ dans les circuits analogiques et numériques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Hillebrand, Friedhelm/ Heierling, Hermann/ </w:t>
            </w:r>
          </w:p>
        </w:tc>
      </w:tr>
      <w:tr>
        <w:trPr>
          <w:trHeight w:val="567"/>
        </w:trPr>
        <w:tc>
          <w:tcPr>
            <w:tcW w:type="dxa" w:w="3000"/>
          </w:tcPr>
          <w:p>
            <w:r>
              <w:t>Adresse bib.</w:t>
            </w:r>
          </w:p>
        </w:tc>
        <w:tc>
          <w:tcPr>
            <w:tcW w:type="dxa" w:w="7000"/>
          </w:tcPr>
          <w:p>
            <w:r>
              <w:t xml:space="preserve">diffusion Agence parisienne de distribution/ </w:t>
            </w:r>
          </w:p>
        </w:tc>
      </w:tr>
      <w:tr>
        <w:trPr>
          <w:trHeight w:val="567"/>
        </w:trPr>
        <w:tc>
          <w:tcPr>
            <w:tcW w:type="dxa" w:w="3000"/>
          </w:tcPr>
          <w:p>
            <w:r>
              <w:t>Nombre de Pages</w:t>
            </w:r>
          </w:p>
        </w:tc>
        <w:tc>
          <w:tcPr>
            <w:tcW w:type="dxa" w:w="7000"/>
          </w:tcPr>
          <w:p>
            <w:r>
              <w:t>213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 p.p. 211-213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résistance de canal/ mélangeur additif/ </w:t>
            </w:r>
          </w:p>
        </w:tc>
      </w:tr>
    </w:tbl>
    <w:p>
      <w:pPr>
        <w:pStyle w:val="Heading3"/>
      </w:pPr>
      <w:r>
        <w:t>Résumé :</w:t>
      </w:r>
    </w:p>
    <w:p>
      <w:r>
        <w:t>Ce titre traite de l’étude des transistors à effet de champ (FET), de leur principe de fonctionnement et de leur modélisation, ainsi que de leur utilisation essentielle dans la conception et l’analyse des circuits analogiques (amplification, adaptation) et numériques (logique, commutation)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