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Boumard, B./ Lavaste,F/ </w:t>
            </w:r>
          </w:p>
        </w:tc>
      </w:tr>
      <w:tr>
        <w:trPr>
          <w:trHeight w:val="567"/>
        </w:trPr>
        <w:tc>
          <w:tcPr>
            <w:tcW w:type="dxa" w:w="3000"/>
          </w:tcPr>
          <w:p>
            <w:r>
              <w:t>Adresse bib.</w:t>
            </w:r>
          </w:p>
        </w:tc>
        <w:tc>
          <w:tcPr>
            <w:tcW w:type="dxa" w:w="7000"/>
          </w:tcPr>
          <w:p>
            <w:r>
              <w:t xml:space="preserve">Delagrave/ </w:t>
            </w:r>
          </w:p>
        </w:tc>
      </w:tr>
      <w:tr>
        <w:trPr>
          <w:trHeight w:val="567"/>
        </w:trPr>
        <w:tc>
          <w:tcPr>
            <w:tcW w:type="dxa" w:w="3000"/>
          </w:tcPr>
          <w:p>
            <w:r>
              <w:t>Nombre de Pages</w:t>
            </w:r>
          </w:p>
        </w:tc>
        <w:tc>
          <w:tcPr>
            <w:tcW w:type="dxa" w:w="7000"/>
          </w:tcPr>
          <w:p>
            <w:r>
              <w:t>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L'outil informatique(N°:4)</w:t>
            </w:r>
          </w:p>
        </w:tc>
      </w:tr>
      <w:tr>
        <w:trPr>
          <w:trHeight w:val="567"/>
        </w:trPr>
        <w:tc>
          <w:tcPr>
            <w:tcW w:type="dxa" w:w="3000"/>
          </w:tcPr>
          <w:p>
            <w:r>
              <w:t>Numéro d'Identification</w:t>
            </w:r>
          </w:p>
        </w:tc>
        <w:tc>
          <w:tcPr>
            <w:tcW w:type="dxa" w:w="7000"/>
          </w:tcPr>
          <w:p>
            <w:r>
              <w:t>2206002493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résistance des matériaux/ informatique/ </w:t>
            </w:r>
          </w:p>
        </w:tc>
      </w:tr>
    </w:tbl>
    <w:p>
      <w:pPr>
        <w:pStyle w:val="Heading3"/>
      </w:pPr>
      <w:r>
        <w:t>Résumé :</w:t>
      </w:r>
    </w:p>
    <w:p>
      <w:r>
        <w:t>Ce manuel constitue un ouvrage pédagogique concis destiné aux étudiants en génie civil, génie mécanique et écoles techniques, combinant théorie fondamentale et applications pratiques de la résistance des matériaux. L’originalité de cette édition réside dans l’intégration de l’outil informatique pour faciliter le calcul et l’analyse des structures, ce qui était novateur pour l’époque.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