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Linck, Pierre-Antoine/ Mirouse, Adrien/ </w:t>
            </w:r>
          </w:p>
        </w:tc>
      </w:tr>
      <w:tr>
        <w:trPr>
          <w:trHeight w:val="567"/>
        </w:trPr>
        <w:tc>
          <w:tcPr>
            <w:tcW w:type="dxa" w:w="3000"/>
          </w:tcPr>
          <w:p>
            <w:r>
              <w:t>Adresse bib.</w:t>
            </w:r>
          </w:p>
        </w:tc>
        <w:tc>
          <w:tcPr>
            <w:tcW w:type="dxa" w:w="7000"/>
          </w:tcPr>
          <w:p>
            <w:r>
              <w:t xml:space="preserve">S-éditions/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9782356401281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endocrinologie/ </w:t>
            </w:r>
          </w:p>
        </w:tc>
      </w:tr>
    </w:tbl>
    <w:p>
      <w:pPr>
        <w:pStyle w:val="Heading3"/>
      </w:pPr>
      <w:r>
        <w:t>Résumé :</w:t>
      </w:r>
    </w:p>
    <w:p>
      <w:r>
        <w:t>L'ouvrage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