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Parcourir et gérer la rue parisienne à l'époque contemporaine, pouvoirs, pratiques et représentations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Flonneau, Mathieu/ Laguet, Daniel/ Ozanne, François/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9782296058859</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vie urbaine/ </w:t>
            </w:r>
          </w:p>
        </w:tc>
      </w:tr>
    </w:tbl>
    <w:p>
      <w:pPr>
        <w:pStyle w:val="Heading3"/>
      </w:pPr>
      <w:r>
        <w:t>Résumé :</w:t>
      </w:r>
    </w:p>
    <w:p>
      <w:r>
        <w:t>Le "pavé de Paris" est le nom ancien du service de la voie publique apparu pendant la période haussmannienne. Il est à lui seul une histoire et une culture. Même si les rues de Paris ont été soumises à l'histoire, aux événements et à des régimes administratifs successifs, elles témoignent d'une unité. Ainsi, ces rues qui n'ont cependant rien d'uniforme ont toujours connu une gestion et un contrôle centralisés. Cette mise en administration tous azimuts de la ville au ras du réseau et la gestion des conflits d'usages, auxquels la rue est d'abord exposée, sont les objets de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