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biologie des rascasses du genre Scorpaena sp.(Teleostei, Scorpaenidae) du golfe d’Annaba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Omri, Nihed/ Derbal, Farid/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Sciences de la Mer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scorpaenidae/ méditerranée/ biologie/ </w:t>
            </w:r>
          </w:p>
        </w:tc>
      </w:tr>
    </w:tbl>
    <w:p>
      <w:pPr>
        <w:pStyle w:val="Heading3"/>
      </w:pPr>
      <w:r>
        <w:t>Résumé :</w:t>
      </w:r>
    </w:p>
    <w:p>
      <w:r>
        <w:t>L’étude présentée ici tente de répondre à un besoin d’informations sur l’ichtyodiversité des côtes de l’est de l’Algérie. Un intérêt majeur est accordé aux peuplements ichtyologiques des petits fonds accidentés, en particulier à la biologie et à l’écologie des espèces d’intérêt halieutique en Méditerranée.</w:t>
        <w:br/>
        <w:br/>
        <w:t>Le premier chapitre passe en revue des généralités sur les Scorpaenidae, une famille à faible valeur</w:t>
        <w:br/>
        <w:br/>
        <w:t>marchande mais d’un intérêt écologique fondamental au sein des écosystèmes benthiques, notamment</w:t>
        <w:br/>
        <w:br/>
        <w:t>les fonds rocheux et à herbiers à posidonie. Des informations sur la taxonomie, les critères de diagnose, l’écobiologie et l’importance écologique et économique sont présentées sommairement.</w:t>
        <w:br/>
        <w:br/>
        <w:t>La morphologie a été caractérisée chez les 4 espèces à partir de critères numériques (branchiospines supérieures et inférieures, écailles sur le ligne latérales, rayons durs et mous sur les nageoires dorsale et anale) et quatorze (14) métriques (longueurs totale (LT), standard (LS), céphalique</w:t>
        <w:br/>
        <w:br/>
        <w:t>(LC), pré-pectorale (LPp), post-orbitaire (Lpp), pré-anale (LPa), pré-orbitaire (LPo), post-orbitaire (Lpo),</w:t>
        <w:br/>
        <w:br/>
        <w:t>diamètres orbitaire (DO) et inter-orbitaire (DIO), hauteur du corps (HC), épaisseur du corps (EC), hauteur du pédoncule caudale (HPC), longueur du maxillaire (LMAX). L’ensemble des résultats ont été confortés par des analyses statistiques appropriées. Un test de comparaison (Tpe) et (Tpo) a été effectué pour rechercher un éventuel dimorphisme sexuel chez les 4 espèces. Globalement, la croissance relative des 4 espèces est isométrique pour l’ensemble des espèces étudiées. La comparaison des droites de régression de chaque caractère indique l’existence d’un dimorphisme sexuel accentué chez les 4 espèces : S. porcus (5/13 ratios), S. notata (12/13 ratios), S. elongata (13/13 ratios) et S. scrofa (9/13 ratios). Les valeurs modales des paramètres  urémiques sont de l’ordre de : ND : 12/10, NA : 3/6, ELL : 52, BR : 6/10. L’âge de S. porcus a été déterminé par la méthode calorimétrique avec un taux de validation proche de 95%. L’âge de la population échantillonnée est compris entre 1 et 5 ans, avec une prédominance des classes d'âge intermédiaires (2 - 3 ans) pour la population totale. L’âge maximal est de 5 ans chez les femelles chez les mâles. Les paramètres de Von Bertalanffy et l’indice de performance de croissance (φ) sont les suivants : L∞PT= 29,05 cm; P∞PT = 431,05 g; kPT = 0.253; toPT = -1,208; φ PT = 5,36. L∞F = 28,42 cm; P∞F = 420,63 g; kF = 0,277; toF = -1,160; φF = 5,41. L∞M = 29,44 cm; P∞M = 434,46 g; kM = 0,214; toM = -1,985; φM = 5,22. Que ce soit en dehors de la période de reproduction (octobre-mai) ou durant la période de reproduction (juin- septembre), les femelles dominent numériquement (HPR: 17,67 % ; PR : 42,32%). La taille à la première maturité sexuelle (L50) est de 16,50 cm chez les femelles et de 16 cm chez les mâles. L’embonpoint varie sensiblement durant l’année et chute en période de reproduction. La composition et les variations du régime alimentaire de S. porcus ont été étudiées durant un cycle annuel. L’indice d’importance relative (%IRI) combinant les trois principaux descripteurs de la présence des différentes proies ingérées (%F, %N, %W) a été utilisé pour caractériser l’importance relative des différents taxons alimentaires. Les variations qualitatives et quantitatives du régime ont été recherchées en fonction des saisons, du sexe et de la taille du prédateur. La vacuité digestive moyenne annuelle est de 40,77% et varie d’une manière significative qu’en fonction des saisons, notamment en été. L’analyse des contenus digestifs met en évidence une</w:t>
        <w:br/>
        <w:br/>
        <w:t>nette dominance numérique et pondérale des crustacés décapodes (%IRI = 91,21). Ce prédateur élargie son régime à d’autres proies de moindre importance, comme les téléostéens (%IRI = 8,48). Il ingère en moyenne 0,58 proies pesant 0,73 g. La comparaison statistique, en utilisant le coefficient de rang de Spearman (), n’a montré aucun</w:t>
        <w:br/>
        <w:br/>
        <w:t>changement significatif de l’alimentation sauf en période estivale.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