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Résistance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Bensaada, S./ Bouziane, MT/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253 p.</w:t>
            </w:r>
          </w:p>
        </w:tc>
      </w:tr>
      <w:tr>
        <w:trPr>
          <w:trHeight w:val="567"/>
        </w:trPr>
        <w:tc>
          <w:tcPr>
            <w:tcW w:type="dxa" w:w="3000"/>
          </w:tcPr>
          <w:p>
            <w:r>
              <w:t>Illustration</w:t>
            </w:r>
          </w:p>
        </w:tc>
        <w:tc>
          <w:tcPr>
            <w:tcW w:type="dxa" w:w="7000"/>
          </w:tcPr>
          <w:p>
            <w:r>
              <w:t>couv.  en coul.</w:t>
            </w:r>
          </w:p>
        </w:tc>
      </w:tr>
      <w:tr>
        <w:trPr>
          <w:trHeight w:val="567"/>
        </w:trPr>
        <w:tc>
          <w:tcPr>
            <w:tcW w:type="dxa" w:w="3000"/>
          </w:tcPr>
          <w:p>
            <w:r>
              <w:t>Format</w:t>
            </w:r>
          </w:p>
        </w:tc>
        <w:tc>
          <w:tcPr>
            <w:tcW w:type="dxa" w:w="7000"/>
          </w:tcPr>
          <w:p>
            <w:r>
              <w:t>28 cm</w:t>
            </w:r>
          </w:p>
        </w:tc>
      </w:tr>
      <w:tr>
        <w:trPr>
          <w:trHeight w:val="567"/>
        </w:trPr>
        <w:tc>
          <w:tcPr>
            <w:tcW w:type="dxa" w:w="3000"/>
          </w:tcPr>
          <w:p>
            <w:r>
              <w:t>Numéro d'Identification</w:t>
            </w:r>
          </w:p>
        </w:tc>
        <w:tc>
          <w:tcPr>
            <w:tcW w:type="dxa" w:w="7000"/>
          </w:tcPr>
          <w:p>
            <w:r>
              <w:t>9789961017135</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élasticité/ traction/ cisaillement / torsion/ </w:t>
            </w:r>
          </w:p>
        </w:tc>
      </w:tr>
    </w:tbl>
    <w:p>
      <w:pPr>
        <w:pStyle w:val="Heading3"/>
      </w:pPr>
      <w:r>
        <w:t>Résumé :</w:t>
      </w:r>
    </w:p>
    <w:p>
      <w:r>
        <w:t>C'est un manuel complet de Résistance des matériaux, combinant enseignement théorique et applications pratiques. Il commence par établir les bases mathématiques et vectorielles nécessaires (vecteurs, tenseurs), puis explique comment modéliser les actions mécaniques et analyser les efforts internes dans les structures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