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techniques de conception et de calcul des fondations des ouvrages de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Groupe permanent d'études des marchés de travaux et de maîtrise d'oeuvre/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2212072236</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fondation superficielle/ Semelle isolée et filante/ </w:t>
            </w:r>
          </w:p>
        </w:tc>
      </w:tr>
    </w:tbl>
    <w:p>
      <w:pPr>
        <w:pStyle w:val="Heading3"/>
      </w:pPr>
      <w:r>
        <w:t>Résumé :</w:t>
      </w:r>
    </w:p>
    <w:p>
      <w:r>
        <w:t>Cet ouvrage énonce les règles de conception et de calcul dit fascicule n°62 applicables à la justification des fondations directes par semelles ou radiers en béton armé, fondations par puits, pieux ou barrettes et fondations par caissons. les calculs sont conduits suivant la théorie des états limites, ultimes ou de service. dans un souci de clarté, le texte a été divisé en trois parties : dispositions communes, fondations superficielles et fondations profondes. sont exclus en particulier du domaine d'application les tirants d'ancrage, les procédés de soutènement ou de renforcement des sols rapportés ou en place.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