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T2, sollicitations composées et systèmes hyperstatiques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Larralde, J.P./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des industries mécaniques(N°:None)</w:t>
            </w:r>
          </w:p>
        </w:tc>
      </w:tr>
      <w:tr>
        <w:trPr>
          <w:trHeight w:val="567"/>
        </w:trPr>
        <w:tc>
          <w:tcPr>
            <w:tcW w:type="dxa" w:w="3000"/>
          </w:tcPr>
          <w:p>
            <w:r>
              <w:t>Numéro d'Identification</w:t>
            </w:r>
          </w:p>
        </w:tc>
        <w:tc>
          <w:tcPr>
            <w:tcW w:type="dxa" w:w="7000"/>
          </w:tcPr>
          <w:p>
            <w:r>
              <w:t>2225755701</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matériaux/ </w:t>
            </w:r>
          </w:p>
        </w:tc>
      </w:tr>
    </w:tbl>
    <w:p>
      <w:pPr>
        <w:pStyle w:val="Heading3"/>
      </w:pPr>
      <w:r>
        <w:t>Résumé :</w:t>
      </w:r>
    </w:p>
    <w:p>
      <w:r>
        <w:t>Ce tome 2 de Résistance des matériaux approfondit l’étude du comportement mécanique des structures soumises à des sollicitations complexes, c’est-à-dire à l’action simultanée de plusieurs types d’efforts (traction, compression, flexion, torsion). Il constitue la suite logique du tome 1, qui traite des sollicitations simples.</w:t>
        <w:br/>
        <w:br/>
        <w:br/>
        <w:br/>
        <w:t>La première partie du livre est consacrée aux sollicitations composées. Elle analyse la flexion composée, la flexion déviée et la combinaison flexion–torsion, en s’appuyant sur le principe de superposition des effets. L’ouvrage explique la répartition des contraintes normales et tangentielles dans les sections, la détermination des contraintes maximales et les critères de résistance utilisés pour le dimensionnement des pièces mécaniques.</w:t>
        <w:br/>
        <w:br/>
        <w:br/>
        <w:br/>
        <w:t>Une partie importante est dédiée à la stabilité des structures, notamment au flambement des barres comprimées. Le livre étudie l’influence de l’effort normal, de la flexion et des conditions d’appui sur la charge critique, en mettant en évidence les risques d’instabilité dans les structures élancées.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