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industrielle. T2, les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M./ Lucas, F./ Galichon, A./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industrielle/ courants alternatifs/ </w:t>
            </w:r>
          </w:p>
        </w:tc>
      </w:tr>
    </w:tbl>
    <w:p>
      <w:pPr>
        <w:pStyle w:val="Heading3"/>
      </w:pPr>
      <w:r>
        <w:t>Résumé :</w:t>
      </w:r>
    </w:p>
    <w:p>
      <w:r>
        <w:t>Le tome 2 de Électricité industrielle se concentre sur l’étude des courants alternatifs dans un contexte industriel et technique, en s’adressant aux élèves des lycées techniques, aux auditeurs de formation continue et aux techniciens. Le manuel introduit d’abord les notions fondamentales du courant alternatif, telles que la tension, le courant, la fréquence, la phase et la valeur efficace, ainsi que les concepts de puissance et d’énergie transportée. Il développe ensuite l’analyse des circuits en régime sinusoïdal, en présentant les notions d’impédance, les relations entre tensions et courants dans les éléments résistifs, inductifs et capacitifs, et l’utilisation des nombres complexes et des diagrammes de Fresnel pour simplifier les calculs. Enfin, le livre explore les applications industrielles des courants alternatifs, notamment le fonctionnement des transformateurs, des machines électriques (moteurs monophasés et triphasés) et des systèmes polyphasés, en insistant sur leur rôle dans les installations industrielles. Le tout est présenté de manière pédagogique, combinant théorie, schémas pratiques et exercices pour faciliter l’apprentissage et l’application concrète des concepts électriques dans le domaine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