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cancers de la cavité buccale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Tarragano, H/ Illouz, B/ Moyal, F/ Missika,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CdP/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9782843611292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bouche/ cancer/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 ouvrage est donc de décrire la démarche clinique en carcinologie orale, étape par étape, de l'anamnèse jusqu'au diagnostic et à la mise en route des thérapeutiques médico-chirurgicales, en se référant aux données les plus récentes concernant la prise en charge des cancers buccaux.</w:t>
        <w:br/>
        <w:br/>
        <w:br/>
        <w:br/>
        <w:t>Chaque chapitre se complète d'une série d'arbres décisionnels résumant l'ensemble des éléments abordés, permettant une consultation rapide et pratique dans l'exercice quotidien. Les notions de base indispensables à toute démarche clinique (données épidémiologiques, rappels anatomopathologiques, facteurs étiologiques...) sont regroupées au sein d'un seul et même chapitre.</w:t>
        <w:br/>
        <w:br/>
        <w:br/>
        <w:br/>
        <w:t>En fin d'ouvrage, les auteurs exposent les différentes stratégies de prise en charge odonto-stomatologique du patient cancéreux - notamment celles concernant la gestion des effets indésirables et des séquelles de la radiothérapie - et de la chirurgie d'exérèse carcinologique. La prévention, basée sur la connaissance des facteurs de risque, est également abordée afin de fournir au lecteur une approche complète de la carcinologie orale.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