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Féodossiev, F./ </w:t>
            </w:r>
          </w:p>
        </w:tc>
      </w:tr>
      <w:tr>
        <w:trPr>
          <w:trHeight w:val="567"/>
        </w:trPr>
        <w:tc>
          <w:tcPr>
            <w:tcW w:type="dxa" w:w="3000"/>
          </w:tcPr>
          <w:p>
            <w:r>
              <w:t>Edition</w:t>
            </w:r>
          </w:p>
        </w:tc>
        <w:tc>
          <w:tcPr>
            <w:tcW w:type="dxa" w:w="7000"/>
          </w:tcPr>
          <w:p>
            <w:r>
              <w:t>2émé éd.  révisée</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contrainte tangentielle/ élasticité linéaire/ plasticité/ </w:t>
            </w:r>
          </w:p>
        </w:tc>
      </w:tr>
    </w:tbl>
    <w:p>
      <w:pPr>
        <w:pStyle w:val="Heading3"/>
      </w:pPr>
      <w:r>
        <w:t>Résumé :</w:t>
      </w:r>
    </w:p>
    <w:p>
      <w:r>
        <w:t>C'est un ouvrage de référence classique consacré à l’étude du comportement mécanique des solides déformables soumis à différentes sollicitations. Publié dans une édition largement utilisée au début des années 1970, ce manuel s’adresse principalement aux étudiants en génie mécanique, génie civil et écoles d’ingénieurs, ainsi qu’aux techniciens et ingénieurs praticiens.</w:t>
        <w:br/>
        <w:br/>
        <w:br/>
        <w:br/>
        <w:t>L’ouvrage commence par la présentation des fondements théoriques de la résistance des matériaux : définition des contraintes et des déformations, hypothèses de base (milieu continu, homogène, isotrope) et relations entre efforts intérieurs et actions extérieures. Ces notions constituent la base indispensable pour l’analyse des structures et des pièces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