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Nauciel, Charles/ Vildé,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255-257</w:t>
            </w:r>
          </w:p>
        </w:tc>
      </w:tr>
      <w:tr>
        <w:trPr>
          <w:trHeight w:val="567"/>
        </w:trPr>
        <w:tc>
          <w:tcPr>
            <w:tcW w:type="dxa" w:w="3000"/>
          </w:tcPr>
          <w:p>
            <w:r>
              <w:t>Numéro d'Identification</w:t>
            </w:r>
          </w:p>
        </w:tc>
        <w:tc>
          <w:tcPr>
            <w:tcW w:type="dxa" w:w="7000"/>
          </w:tcPr>
          <w:p>
            <w:r>
              <w:t>9782294018589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bactériologie médicale/ </w:t>
            </w:r>
          </w:p>
        </w:tc>
      </w:tr>
    </w:tbl>
    <w:p>
      <w:pPr>
        <w:pStyle w:val="Heading3"/>
      </w:pPr>
      <w:r>
        <w:t>Résumé :</w:t>
      </w:r>
    </w:p>
    <w:p>
      <w:r>
        <w:t>À la fois didactique et pratique, cet Abrégé Connaissances et Pratique permet de comprendre la place des infections bactériennes en pathologie médicale. La partie Connaissances est divisée en deux sous-parties. La première est consacrée à la bactériologie générale où sont exposés les propriétés générales des bactéries, leurs interactions avec l'hôte, leur mode de transmission et enfin les thérapeutiques antibactériennes. La seconde sous-partie est consacrée aux principales bactéries rencontrées en pathologie humaine, avec en particulier les aspects épidémiologiques, leur rôle en pathologie, la physiopathologie, les moyens de diagnostic et les bases du traitement. Le rôle des différentes espèces bactériennes, en fonction du siège de l'infection, est résumé en annexe. La partie Pratique permet à l'étudiant de s'entraîner, de valider ses connaissances, grâce à des exercices corrigés assortis de commentaires. Cette 2e édition est une remise à jour des données de la discipline. Dans la partie Connaissances, les items du programme de DCEM sont identifiés en début de chapitre et des encadrés Points-clés résument les éléments indispensables à connaître pour réussir les nouvelles Épreuves Classantes Nationales. La partie Pratique a été revue et enrichie : les QROC ont été supprimés et remplacés par des cas cliniques supplémentaires, conformément aux épreuves classantes 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