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Tunnel. T2, calcul revêtement définitif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Cherchali. C/ </w:t>
            </w:r>
          </w:p>
        </w:tc>
      </w:tr>
      <w:tr>
        <w:trPr>
          <w:trHeight w:val="567"/>
        </w:trPr>
        <w:tc>
          <w:tcPr>
            <w:tcW w:type="dxa" w:w="3000"/>
          </w:tcPr>
          <w:p>
            <w:r>
              <w:t>Edition</w:t>
            </w:r>
          </w:p>
        </w:tc>
        <w:tc>
          <w:tcPr>
            <w:tcW w:type="dxa" w:w="7000"/>
          </w:tcPr>
          <w:p>
            <w:r>
              <w:t>1e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du revêtement/ revêtement définitif/ </w:t>
            </w:r>
          </w:p>
        </w:tc>
      </w:tr>
    </w:tbl>
    <w:p>
      <w:pPr>
        <w:pStyle w:val="Heading3"/>
      </w:pPr>
      <w:r>
        <w:t>Résumé :</w:t>
      </w:r>
    </w:p>
    <w:p>
      <w:r>
        <w:t>Cet ouvrage intitulé «calcul du revêtement définitif» consiste au calcul du revêtement définitif, après pose du revêtement provisoire (voir tome i) et excavation de la demi-section inférieure, alors on procède au ferraillage et coulage.</w:t>
        <w:br/>
        <w:br/>
        <w:t>après coulage de la voûte, on laissera des ouvertures (deux réservations à côté des reins et une ouverture à la calotte), ces ouvertures permettront de couler du béton (après décoffrage) pour remplir le vide qui pourrait exister entre le soutènement provisoire et le revêtement définitif. le projeteur de tunnel rencontre de nombreuses difficultés pour dimensionner les revêtements du tunnel en béton du fait</w:t>
        <w:br/>
        <w:br/>
        <w:t>• de la nature des charges s’exerçant sur la structure à construire</w:t>
        <w:br/>
        <w:br/>
        <w:t>• du comportement de cette structure en interaction avec le terrain qu’elle supporte.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