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Comprehensive Structural Analysis. V1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Vaidyanathan, R./ Perumal, P./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Laxmi publications/ </w:t>
            </w:r>
          </w:p>
        </w:tc>
      </w:tr>
      <w:tr>
        <w:trPr>
          <w:trHeight w:val="567"/>
        </w:trPr>
        <w:tc>
          <w:tcPr>
            <w:tcW w:type="dxa" w:w="3000"/>
          </w:tcPr>
          <w:p>
            <w:r>
              <w:t>Nombre de Pages</w:t>
            </w:r>
          </w:p>
        </w:tc>
        <w:tc>
          <w:tcPr>
            <w:tcW w:type="dxa" w:w="7000"/>
          </w:tcPr>
          <w:p>
            <w:r>
              <w:t>446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8170089085</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structural Analysis/ statics of structures/ </w:t>
            </w:r>
          </w:p>
        </w:tc>
      </w:tr>
    </w:tbl>
    <w:p>
      <w:pPr>
        <w:pStyle w:val="Heading3"/>
      </w:pPr>
      <w:r>
        <w:t>Résumé :</w:t>
      </w:r>
    </w:p>
    <w:p>
      <w:r>
        <w:t>Comprehensive Structural Analysis – Volume I by R. Vaidyanathan introduces the fundamental principles of structural analysis for civil engineering. The book focuses on the analysis of beams, trusses, frames, arches, and cables, covering internal forces, deflections, and basic energy methods, with clear explanations and solved examples to develop a strong understanding of structural behavior under loads.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