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métallique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métallique/ Eurocodes/ </w:t>
            </w:r>
          </w:p>
        </w:tc>
      </w:tr>
    </w:tbl>
    <w:p>
      <w:pPr>
        <w:pStyle w:val="Heading3"/>
      </w:pPr>
      <w:r>
        <w:t>Résumé :</w:t>
      </w:r>
    </w:p>
    <w:p>
      <w:r>
        <w:t>Les exemples numériques contenus dans ce complément au Volume 10 du Traité de Génie Civil se basent sur les documents suivants:</w:t>
        <w:br/>
        <w:br/>
        <w:t>Eurocode 1: "Bases de calcul et actions sur les structures" Partie 1 Basis of design (ENV 1991-1: 1994).</w:t>
        <w:br/>
        <w:br/>
        <w:t>Eurocode 3: "Calcul des structures en acier" Partie 1-1 Règles générales et règles pour les bâtiments (ENV 1993-1-1: 1992).</w:t>
        <w:br/>
        <w:br/>
        <w:t>Eurocode 4: "Calcul des structures mixtes acier-béton" Partie 1-1 Règles générales et règles pour les bâtiments (ENV 1994-1-1: 1992).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