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Bactériologie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Singleton, Paul/ Sainsbury, Diana/ Hamoir, G./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158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Abrégés(N°:None)</w:t>
            </w:r>
          </w:p>
        </w:tc>
      </w:tr>
      <w:tr>
        <w:trPr>
          <w:trHeight w:val="567"/>
        </w:trPr>
        <w:tc>
          <w:tcPr>
            <w:tcW w:type="dxa" w:w="3000"/>
          </w:tcPr>
          <w:p>
            <w:r>
              <w:t>Notes Générales</w:t>
            </w:r>
          </w:p>
        </w:tc>
        <w:tc>
          <w:tcPr>
            <w:tcW w:type="dxa" w:w="7000"/>
          </w:tcPr>
          <w:p>
            <w:r>
              <w:t>Index p.p. 151-158</w:t>
            </w:r>
          </w:p>
        </w:tc>
      </w:tr>
      <w:tr>
        <w:trPr>
          <w:trHeight w:val="567"/>
        </w:trPr>
        <w:tc>
          <w:tcPr>
            <w:tcW w:type="dxa" w:w="3000"/>
          </w:tcPr>
          <w:p>
            <w:r>
              <w:t>Numéro d'Identification</w:t>
            </w:r>
          </w:p>
        </w:tc>
        <w:tc>
          <w:tcPr>
            <w:tcW w:type="dxa" w:w="7000"/>
          </w:tcPr>
          <w:p>
            <w:r>
              <w:t>2225803501</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pathogénicitè/ résistance bactérienne/ </w:t>
            </w:r>
          </w:p>
        </w:tc>
      </w:tr>
    </w:tbl>
    <w:p>
      <w:pPr>
        <w:pStyle w:val="Heading3"/>
      </w:pPr>
      <w:r>
        <w:t>Résumé :</w:t>
      </w:r>
    </w:p>
    <w:p>
      <w:r>
        <w:t>Cet ouvrage est conçu pour être à la fois une ressource académique et un outil pratique pour les étudiants et les professionnels de la santé, offrant une compréhension approfondie de la bactériologie moderne. Si vous avez besoin d’informations spécifiques ou de détails supplémentaires sur un chapitre particulier, n’hésitez pas à demander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