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alimentations à absorption sinusoïdale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Mignard, Joseph/ Pin, Chrystel/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9782729885281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alimentations à découpage/ </w:t>
            </w:r>
          </w:p>
        </w:tc>
      </w:tr>
    </w:tbl>
    <w:p>
      <w:pPr>
        <w:pStyle w:val="Heading3"/>
      </w:pPr>
      <w:r>
        <w:t>Résumé :</w:t>
      </w:r>
    </w:p>
    <w:p>
      <w:r>
        <w:t>L'ouvrage propose une vue d'ensemble sur les structures d'alimentation à découpage, à absorption sinusoïdale, en mettant l'accent sur le dimensionnement et l'aspect technologique des composants afin de faciliter une réalisation. Aujourd'hui, nombre d'appareils domestiques ou industriels comportent une alimentation à découpage. Leur multiplication engendre des perturbations sur le réseau EDF. Afin de maîtriser ces nuisances, la norme EN 61000-3-2, dérivée de la norme EN 60555-2, relative aux pollutions harmoniques, est obligatoire depuis 2001. Les alimentations à découpage à absorption sinusoïdale répondent aux exigences de cette norme, et plusieurs solutions technologiques ont vu le jour. L'intérêt principal de cet ouvrage est de regrouper les différentes structures existantes et de proposer un comparatif permettant de choisir la mieux adaptée à une application donnée. L'ouvrage s'appuie sur l'étude complète des différents hacheurs afin de pouvoir présenter en détail les structures associées d'alimentation à découpage à absorption sinusoïdale. Il est très largement illustré par des représentations graphiques de qualité.  L'ouvrage est de niveau B (IUP - Licence).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