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2212005210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Flexion composée/ Stabilité des structures/ </w:t>
            </w:r>
          </w:p>
        </w:tc>
      </w:tr>
    </w:tbl>
    <w:p>
      <w:pPr>
        <w:pStyle w:val="Heading3"/>
      </w:pPr>
      <w:r>
        <w:t>Résumé :</w:t>
      </w:r>
    </w:p>
    <w:p>
      <w:r>
        <w:t>Si l'utilisation des outils informatiques et des nombreux programmes de calcul de structure s'est répandue ces dernières années dans les entreprises et bureaux d'études, cela ne saurait dispenser les ingénieurs et techniciens d'une bonne maîtrise de la résistance des matériaux, indispensable pour contrôler l'exactitude et la pertinence des résultats fournis : contrôle des ordres de grandeur, validation des hypothèses et des résultats, etc.</w:t>
        <w:br/>
        <w:br/>
        <w:t>Cet ouvrage, extrait du cours de résistance des matériaux professé au Centre de Hautes Etudes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