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Ammar Khodja ,Fatima/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biblioger. Annexe</w:t>
            </w:r>
          </w:p>
        </w:tc>
      </w:tr>
      <w:tr>
        <w:trPr>
          <w:trHeight w:val="567"/>
        </w:trPr>
        <w:tc>
          <w:tcPr>
            <w:tcW w:type="dxa" w:w="3000"/>
          </w:tcPr>
          <w:p>
            <w:r>
              <w:t>Numéro d'Identification</w:t>
            </w:r>
          </w:p>
        </w:tc>
        <w:tc>
          <w:tcPr>
            <w:tcW w:type="dxa" w:w="7000"/>
          </w:tcPr>
          <w:p>
            <w:r>
              <w:t>9789961016701</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Ce manuel s'adresse aux étudiants de licence, de masters en génétique et aux doctorants en médecine. C'est un outil de travail qui complète le cours de génétique. Les problèmes couvrent une vaste gamme de degrés de difficulté: ils sont classes suivant leur niveau de difficulté. Les réponses permettent à 1'étudiant d'acquérir une compréhension profonde des mécanismes de la génétique. La première partie traite de la génétique générale des eucaryotes avec une progression allant de 1'ADN au chromosome. La deuxième partie est consacrée entièrement à la génétique humaine classique et pathologique. La cytogénétique et la génétique moléculaire sont les deux aspects analyses en génétique pathologique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