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Examens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Fiacre, Alain/ Plouvier, Élisabeth/ Vincenot, Anne/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9782224034306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répond aux deux questions que doit se poser le clinicien devant la feuille de rendu des résultats : Quelle est la valeur diagnostique de l'analyse ? Devant une valeur anormale, comment orienter le diagnostic ? Sont décrits la plupart des examens réalisés dans les laboratoires et accessibles en pratique courante (seuls ceux prescrits par certains centres de recherche ne font pas partie de cet ouvrage), en incluant les analyses faisant appel à des techniques récentes telles que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