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Utilisation de modèles alternatifs et prédictifs dans l’étude des micropolluants en toxicologie environnementale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Namane, Imen/ Berrebbah, Djebar/ </w:t>
            </w:r>
          </w:p>
        </w:tc>
      </w:tr>
      <w:tr>
        <w:trPr>
          <w:trHeight w:val="567"/>
        </w:trPr>
        <w:tc>
          <w:tcPr>
            <w:tcW w:type="dxa" w:w="3000"/>
          </w:tcPr>
          <w:p>
            <w:r>
              <w:t>Nombre de Pages</w:t>
            </w:r>
          </w:p>
        </w:tc>
        <w:tc>
          <w:tcPr>
            <w:tcW w:type="dxa" w:w="7000"/>
          </w:tcPr>
          <w:p>
            <w:r>
              <w:t>134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paramecium sp./ cytotoxicité/ stress oxydant/ </w:t>
            </w:r>
          </w:p>
        </w:tc>
      </w:tr>
    </w:tbl>
    <w:p>
      <w:pPr>
        <w:pStyle w:val="Heading3"/>
      </w:pPr>
      <w:r>
        <w:t>Résumé :</w:t>
      </w:r>
    </w:p>
    <w:p>
      <w:r>
        <w:t>La classe chimique des amidophosphonates, appartenant aux organophosphorés, est reconnue pour ses diverses activités biologiques. Cependant, leur large utilisation soulève des préoccupations quant à leur toxicité potentielle et leurs effets sur l'environnement. Dans cette étude, nous avons évalué la toxicité biologique de deux amidophosphonates nouvellement synthétisés (AP1 et AP2), proposés comme alternatives potentielles au glyphosate, pesticide de référence, en utilisant des modèles biologiques alternatifs : Paramecium sp. et Saccharomyces cerevisiae. Nos résultats montrent que, d’un côté, les trois molécules provoquent une inhibition de la croissance cellulaire et une perturbation du métabolisme respiratoire. D’un autre côté, chez Paramecium sp., nous remarquons une augmentation de l’activité catalase et de la teneur en protéines suivies d’une diminution progressive, tandis que la superoxyde dismutase augmente. L’activité du glutathion S-transférase et le taux de glutathion réduit diminuent de manière dose-dépendante. Chez Saccharomyces cerevisiae, l’ensemble des paramètres étudiés — catalase, superoxyde dismutase, glutathion S-transférase, glutathion réduit et protéines totales — présentent une évolution comparable. On observe d’abord une stimulation significative de ces activités, traduisant une réponse adaptative initiale au stress oxydatif, suivie d’une diminution progressive liée à l’épuisement des mécanismes de défense cellulaire. Ces variations sont d’autant plus marquées sous l’effet du glyphosate, qui induit une perturbation oxydative plus importante que les composés AP1 et AP2. L'étude de docking moléculaire a mis en lumière les interactions entre ces composés et des protéines cibles clés, telles que l'enzyme EPSP synthase, la SOD et le cytochrome P450. Les résultats ont révélé qu'AP2 présentait une affinité de liaison plus élevée pour l'EPSP synthase que le glyphosate, suggérant son potentiel effet herbicide alternatif. L’analyse des interactions avec la SOD et le CYP450 a également permis de mieux comprendre les mécanismes moléculaires sous-jacents à leur toxicité. Néanmoins, sur le plan toxique global, AP1 et AP2 se sont révélés moins toxiques que le glyphosate, offrant ainsi des perspectives prometteuses pour le développement de composés ayant un impact environnemental réduit.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