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en charpente métallique. T1, selon le réglement Algérien C-C-M-97 et l'Eurocode 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Baraka, Abdelhak/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308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27cm</w:t>
            </w:r>
          </w:p>
        </w:tc>
      </w:tr>
      <w:tr>
        <w:trPr>
          <w:trHeight w:val="567"/>
        </w:trPr>
        <w:tc>
          <w:tcPr>
            <w:tcW w:type="dxa" w:w="3000"/>
          </w:tcPr>
          <w:p>
            <w:r>
              <w:t>Numéro d'Identification</w:t>
            </w:r>
          </w:p>
        </w:tc>
        <w:tc>
          <w:tcPr>
            <w:tcW w:type="dxa" w:w="7000"/>
          </w:tcPr>
          <w:p>
            <w:r>
              <w:t>9789961016831</w:t>
            </w:r>
          </w:p>
        </w:tc>
      </w:tr>
      <w:tr>
        <w:trPr>
          <w:trHeight w:val="567"/>
        </w:trPr>
        <w:tc>
          <w:tcPr>
            <w:tcW w:type="dxa" w:w="3000"/>
          </w:tcPr>
          <w:p>
            <w:r>
              <w:t>Thème</w:t>
            </w:r>
          </w:p>
        </w:tc>
        <w:tc>
          <w:tcPr>
            <w:tcW w:type="dxa" w:w="7000"/>
          </w:tcPr>
          <w:p>
            <w:r>
              <w:t>Charpente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charpente métallique/ exploitation élastique/ </w:t>
            </w:r>
          </w:p>
        </w:tc>
      </w:tr>
    </w:tbl>
    <w:p>
      <w:pPr>
        <w:pStyle w:val="Heading3"/>
      </w:pPr>
      <w:r>
        <w:t>Résumé :</w:t>
      </w:r>
    </w:p>
    <w:p>
      <w:r>
        <w:t>Ce livre s'insère dans le cadre de la formation des ingénieurs Algériens en génie civil et pour aider à maîtriser le règlement en vigueur qui est le C.C.M.97 (Eurocode 3) et les techniques de conceptions et des constructions contemporaines dans le domaine de la construction en charpente métallique. il se présente à la fois comme un support pédagogique pour les cadres dans le domaine d'application.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