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Pharmacologie générale et pratique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Edition</w:t>
            </w:r>
          </w:p>
        </w:tc>
        <w:tc>
          <w:tcPr>
            <w:tcW w:type="dxa" w:w="7000"/>
          </w:tcPr>
          <w:p>
            <w:r>
              <w:t>2e éd... refondue</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160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Numéro d'Identification</w:t>
            </w:r>
          </w:p>
        </w:tc>
        <w:tc>
          <w:tcPr>
            <w:tcW w:type="dxa" w:w="7000"/>
          </w:tcPr>
          <w:p>
            <w:r>
              <w:t>2729894063</w:t>
            </w:r>
          </w:p>
        </w:tc>
      </w:tr>
      <w:tr>
        <w:trPr>
          <w:trHeight w:val="567"/>
        </w:trPr>
        <w:tc>
          <w:tcPr>
            <w:tcW w:type="dxa" w:w="3000"/>
          </w:tcPr>
          <w:p>
            <w:r>
              <w:t>Thème</w:t>
            </w:r>
          </w:p>
        </w:tc>
        <w:tc>
          <w:tcPr>
            <w:tcW w:type="dxa" w:w="7000"/>
          </w:tcPr>
          <w:p>
            <w:r>
              <w:t>Pharmacologie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Pharmacologie générale/ Posologie/ </w:t>
            </w:r>
          </w:p>
        </w:tc>
      </w:tr>
    </w:tbl>
    <w:p>
      <w:pPr>
        <w:pStyle w:val="Heading3"/>
      </w:pPr>
      <w:r>
        <w:t>Résumé :</w:t>
      </w:r>
    </w:p>
    <w:p>
      <w:r>
        <w:t>Cet ouvrage est un manuel didactique fondamental destiné aux étudiants en médecine, pharmacie et sciences de la santé, ainsi qu'aux professionnels de la santé. Il est structuré en deux grandes parties : la Pharmacologie générale et la Pharmacologie pratique, visant à établir un lien essentiel entre les mécanismes d'action des médicaments et leur utilisation clinique rationnelle.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