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 appliquée à la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Ghouini,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115p.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115 p.</w:t>
            </w:r>
          </w:p>
        </w:tc>
      </w:tr>
      <w:tr>
        <w:trPr>
          <w:trHeight w:val="567"/>
        </w:trPr>
        <w:tc>
          <w:tcPr>
            <w:tcW w:type="dxa" w:w="3000"/>
          </w:tcPr>
          <w:p>
            <w:r>
              <w:t>Numéro d'Identification</w:t>
            </w:r>
          </w:p>
        </w:tc>
        <w:tc>
          <w:tcPr>
            <w:tcW w:type="dxa" w:w="7000"/>
          </w:tcPr>
          <w:p>
            <w:r>
              <w:t>9789961018668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toxicologie alimentaire/ nutrition appliquée/ </w:t>
            </w:r>
          </w:p>
        </w:tc>
      </w:tr>
    </w:tbl>
    <w:p>
      <w:pPr>
        <w:pStyle w:val="Heading3"/>
      </w:pPr>
      <w:r>
        <w:t>Résumé :</w:t>
      </w:r>
    </w:p>
    <w:p>
      <w:r>
        <w:t>Cet ouvrage comporte plusieurs parties, notamment, le contrôle de la qualité hygiénique des aliments, l’ionisation alimentaire et les notions essentielles concernant les additifs, les édulcorants , les emballages et les aatoxines, en rapport avec la toxicologie alimentaire. Le rôle de la nutrition dans la survenue des caries dentaires, le rachitisme par déficit en vitamine D, la carence en fer et les conséquences pour la prévention, la malnutrition protéinoénergétique, les effets métaboliques de l’alcoolisme chronique, la cancérogenèse et nutritionénergétique, les effets métaboliques de l’alcoolisme chronique, la cancérogenèse et nutrition de même que les nitrosamines sont également contenus dans cet ouvrage. La dernière partie de l’ouvrage traite de l’alimentation articielle, en présentant les indications et les bases pratiques de l’alimentation entérale et parentérale.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