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Gaz à effet de serre &amp; changement climatique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Bizec, René-François/ </w:t>
            </w:r>
          </w:p>
        </w:tc>
      </w:tr>
      <w:tr>
        <w:trPr>
          <w:trHeight w:val="567"/>
        </w:trPr>
        <w:tc>
          <w:tcPr>
            <w:tcW w:type="dxa" w:w="3000"/>
          </w:tcPr>
          <w:p>
            <w:r>
              <w:t>Adresse bib.</w:t>
            </w:r>
          </w:p>
        </w:tc>
        <w:tc>
          <w:tcPr>
            <w:tcW w:type="dxa" w:w="7000"/>
          </w:tcPr>
          <w:p>
            <w:r>
              <w:t xml:space="preserve">Afnor/ </w:t>
            </w:r>
          </w:p>
        </w:tc>
      </w:tr>
      <w:tr>
        <w:trPr>
          <w:trHeight w:val="567"/>
        </w:trPr>
        <w:tc>
          <w:tcPr>
            <w:tcW w:type="dxa" w:w="3000"/>
          </w:tcPr>
          <w:p>
            <w:r>
              <w:t>Nombre de Pages</w:t>
            </w:r>
          </w:p>
        </w:tc>
        <w:tc>
          <w:tcPr>
            <w:tcW w:type="dxa" w:w="7000"/>
          </w:tcPr>
          <w:p>
            <w:r>
              <w:t>XIV-174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173-174. Glossaire</w:t>
            </w:r>
          </w:p>
        </w:tc>
      </w:tr>
      <w:tr>
        <w:trPr>
          <w:trHeight w:val="567"/>
        </w:trPr>
        <w:tc>
          <w:tcPr>
            <w:tcW w:type="dxa" w:w="3000"/>
          </w:tcPr>
          <w:p>
            <w:r>
              <w:t>Numéro d'Identification</w:t>
            </w:r>
          </w:p>
        </w:tc>
        <w:tc>
          <w:tcPr>
            <w:tcW w:type="dxa" w:w="7000"/>
          </w:tcPr>
          <w:p>
            <w:r>
              <w:t>9782124630233</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628/ </w:t>
            </w:r>
          </w:p>
        </w:tc>
      </w:tr>
      <w:tr>
        <w:trPr>
          <w:trHeight w:val="567"/>
        </w:trPr>
        <w:tc>
          <w:tcPr>
            <w:tcW w:type="dxa" w:w="3000"/>
          </w:tcPr>
          <w:p>
            <w:r>
              <w:t>Sujet(s)</w:t>
            </w:r>
          </w:p>
        </w:tc>
        <w:tc>
          <w:tcPr>
            <w:tcW w:type="dxa" w:w="7000"/>
          </w:tcPr>
          <w:p>
            <w:r>
              <w:t xml:space="preserve">gaz à effet de serre/ </w:t>
            </w:r>
          </w:p>
        </w:tc>
      </w:tr>
    </w:tbl>
    <w:p>
      <w:pPr>
        <w:pStyle w:val="Heading3"/>
      </w:pPr>
      <w:r>
        <w:t>Résumé :</w:t>
      </w:r>
    </w:p>
    <w:p>
      <w:r>
        <w:t>Les gaz à effet de serre sont considérés comme les principaux responsables du changement climatique. Les conséquences des émissions de gaz à effet de serre sont multiples : élévation du niveau de la mer, déplacement des zones climatiques, modification des écosystèmes des forêts, raréfaction des cours d'eau, disparition progressive des glaciers... Cette modification rapide du climat mondial accentuerait son instabilité et se traduirait par une augmentation de la fréquence des catastrophes naturelles, cyclones, sécheresse, inondations, etc. L'urgence est donc aujourd'hui de réduire les émissions de ces gaz à effet de serre. La mesure précise et l'évaluation méthodique des émissions de GES et de leur captation sont, dans ce contexte, un passage obligé pour faire progresse la connaissance du réchauffement climatique et sa maîtrise. A cet effet, Gaz à effet de serre et changement climatique -Quantification et instruments de lutte contre les émissions : décrit dans sa première partie les méthodes et les normes de quantification mises au point récemment pour mieux dresse les inventaires des flux d'émissions de GES et pour les gérer au mieux en conséquence ; présente en détail, dans la deuxième partie, les outils et instruments que les états de la planète, ensemble, ont conçus pour lutter contre les changements climatiques.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