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Brahma, A./ </w:t>
            </w:r>
          </w:p>
        </w:tc>
      </w:tr>
      <w:tr>
        <w:trPr>
          <w:trHeight w:val="567"/>
        </w:trPr>
        <w:tc>
          <w:tcPr>
            <w:tcW w:type="dxa" w:w="3000"/>
          </w:tcPr>
          <w:p>
            <w:r>
              <w:t>Edition</w:t>
            </w:r>
          </w:p>
        </w:tc>
        <w:tc>
          <w:tcPr>
            <w:tcW w:type="dxa" w:w="7000"/>
          </w:tcPr>
          <w:p>
            <w:r>
              <w:t>reimpression 1996</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9961001613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roche/ liants hydrauliques/ eau de gâchage et adjuvants/ béton/ béton frais/ </w:t>
            </w:r>
          </w:p>
        </w:tc>
      </w:tr>
    </w:tbl>
    <w:p>
      <w:pPr>
        <w:pStyle w:val="Heading3"/>
      </w:pPr>
      <w:r>
        <w:t>Résumé :</w:t>
      </w:r>
    </w:p>
    <w:p>
      <w:r>
        <w:t>C’est un manuel d’introduction complet qui explique comment concevoir, fabriquer, mettre en œuvre et contrôler le béton, tout en présentant ses propriétés mécaniques, sa durabilité et ses usages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