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logiques de localisation des activités commerciales dans la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Touaibia, Nawel/ Telaidjia, Djamel/ </w:t>
            </w:r>
          </w:p>
        </w:tc>
      </w:tr>
      <w:tr>
        <w:trPr>
          <w:trHeight w:val="567"/>
        </w:trPr>
        <w:tc>
          <w:tcPr>
            <w:tcW w:type="dxa" w:w="3000"/>
          </w:tcPr>
          <w:p>
            <w:r>
              <w:t>Nombre de Pages</w:t>
            </w:r>
          </w:p>
        </w:tc>
        <w:tc>
          <w:tcPr>
            <w:tcW w:type="dxa" w:w="7000"/>
          </w:tcPr>
          <w:p>
            <w:r>
              <w:t>257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commerce de détail/ mutation/ centre périphérie/ </w:t>
            </w:r>
          </w:p>
        </w:tc>
      </w:tr>
    </w:tbl>
    <w:p>
      <w:pPr>
        <w:pStyle w:val="Heading3"/>
      </w:pPr>
      <w:r>
        <w:t>Résumé :</w:t>
      </w:r>
    </w:p>
    <w:p>
      <w:r>
        <w:t>Depuis la période coloniale, la distribution commerciale dans les principales villes algériennes, dont Annaba, a été structurée autour d‘un modèle de centralité commerciale forte, avec une graduation de l‘offre décroissante à mesure que l‘on s‘éloignait du centre-ville. Ce schéma traditionnel a été profondément bouleversé à partir des réformes structurelles des années 1980, qui ont engendré un dynamisme nouveau et transformé en profondeur les logiques d‘implantation commerciale à l‘échelle urbaine. Dans ce contexte, la ville d‘Annaba a connu, au cours des vingt dernières années, une mutation spatiale significative de ses activités commerciales. Le centre-ville, historiquement dense et compact, a vu émerger une migration commerciale vers la périphérie, entraînant une spécialisation différenciée des espaces urbains. Cette recomposition spatiale s‘est traduite par une répartition contrastée des fonctions commerciales : d‘un côté, un centre-ville en reconversion, de l‘autre, des périphéries en expansion dotées de nouveaux pôles commerciaux. Ce phénomène s‘illustre notamment par le déplacement progressif du commerce de première nécessité, autrefois centralisé, vers les zones périphériques – à travers l‘installation de grandes supérettes et commerces de proximité modernes. Cette dynamique correspond à un processus d‘affenage urbain, ou de sélectivité spatiale, par lequel certaines catégories de commerces se redéploient en ciblant une clientèle précise, souvent plus motorisée ou résidentielle, en périphérie. Cette logique vise à réintégrer ces espaces dans l‘armature commerciale globale de la ville. L‘émergence de ces nouvelles centralités périphériques a profondément modifié les critères de localisation des unités commerciales de détail. Elle appelle aujourd‘hui à une relecture de la structure commerciale urbaine, fondée sur une analyse croisée des dynamiques spatiales, économiques et comportementales. C‘est précisément cette réorganisation commerciale de la ville d‘Annaba – entre centre-ville compact et périphéries étalées – que nous proposons d‘examiner dans le cadre de cette thèse, à travers une approche cartographique et géomarketing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