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Dragage et rejets en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Boutin, Roland/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260-267. Annexes p.p. 278-307</w:t>
            </w:r>
          </w:p>
        </w:tc>
      </w:tr>
      <w:tr>
        <w:trPr>
          <w:trHeight w:val="567"/>
        </w:trPr>
        <w:tc>
          <w:tcPr>
            <w:tcW w:type="dxa" w:w="3000"/>
          </w:tcPr>
          <w:p>
            <w:r>
              <w:t>Numéro d'Identification</w:t>
            </w:r>
          </w:p>
        </w:tc>
        <w:tc>
          <w:tcPr>
            <w:tcW w:type="dxa" w:w="7000"/>
          </w:tcPr>
          <w:p>
            <w:r>
              <w:t>2859783369</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dragage/ rejets en mer/ </w:t>
            </w:r>
          </w:p>
        </w:tc>
      </w:tr>
    </w:tbl>
    <w:p>
      <w:pPr>
        <w:pStyle w:val="Heading3"/>
      </w:pPr>
      <w:r>
        <w:t>Résumé :</w:t>
      </w:r>
    </w:p>
    <w:p>
      <w:r>
        <w:t>En France, les opérations de dragage d'entretien des ports maritimes conduisent à rejeter, le plus souvent en mer, les produits prélevés dans les ports ou leurs chenaux d'accès. Sous l'effet des houles et des courants, ces matériaux rejetés ne devraient ni revenir se déposer dans la zone d'extraction, ni menacer des zones écologiquement sensibles. Ces produits ont, cependant, un comportement complexe du fait, notamment, de la présence de particules fines comme les argiles, et il n'existe pas, actuellement, d'approche unifiée pour décrire celui-ci lors de rejets en mer.</w:t>
        <w:br/>
        <w:br/>
        <w:t>Il apparaît donc important de chercher à mieux comprendre les phénomènes physiques qui gouvernent l'évolution à court terme de ces rejets.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