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pharmacie galénique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Hir, Alain/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Bibliogr. Index p.p. 365-368</w:t>
            </w:r>
          </w:p>
        </w:tc>
      </w:tr>
      <w:tr>
        <w:trPr>
          <w:trHeight w:val="567"/>
        </w:trPr>
        <w:tc>
          <w:tcPr>
            <w:tcW w:type="dxa" w:w="3000"/>
          </w:tcPr>
          <w:p>
            <w:r>
              <w:t>Numéro d'Identification</w:t>
            </w:r>
          </w:p>
        </w:tc>
        <w:tc>
          <w:tcPr>
            <w:tcW w:type="dxa" w:w="7000"/>
          </w:tcPr>
          <w:p>
            <w:r>
              <w:t>2225788480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pharmacie galénique/ médicaments/ </w:t>
            </w:r>
          </w:p>
        </w:tc>
      </w:tr>
    </w:tbl>
    <w:p>
      <w:pPr>
        <w:pStyle w:val="Heading3"/>
      </w:pPr>
      <w:r>
        <w:t>Résumé :</w:t>
      </w:r>
    </w:p>
    <w:p>
      <w:r>
        <w:t>Cet ouvrage, rédigé par Alain Le Hir, est considéré comme une référence incontournable pour les études en pharmacie (PCEM, P1, P2) et pour les professionnels. Il est entièrement dédié à l'étude des formes pharmaceutiques (formes galéniques) et des procédés de fabrication qui leur donnent naissance.</w:t>
        <w:br/>
        <w:br/>
        <w:br/>
        <w:br/>
        <w:t>Le manuel expose de manière claire et structurée l'ensemble des connaissances nécessaires pour comprendre :</w:t>
        <w:br/>
        <w:br/>
        <w:br/>
        <w:br/>
        <w:t>La Formulation : Le choix des excipients et des méthodes de préparation pour transformer une substance active en un médicament stable, sûr et efficace.</w:t>
        <w:br/>
        <w:br/>
        <w:br/>
        <w:br/>
        <w:t>La Technologie : Les techniques de fabrication propres à chaque type de forme (compression pour les comprimés, émulsification pour les crèmes, stérilisation pour les injectables, etc.).</w:t>
        <w:br/>
        <w:br/>
        <w:br/>
        <w:br/>
        <w:t>L'Administration : La relation cruciale entre la forme galénique et la voie d'administration (orale, cutanée, parentérale, etc.), ainsi que l'influence de cette forme sur la biodisponibilité (la quantité de principe actif qui atteint la circulation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