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Avril, Jean-Loup/ Dabernat, Henry/ Denis, François/ Monteil, Henri/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585-590</w:t>
            </w:r>
          </w:p>
        </w:tc>
      </w:tr>
      <w:tr>
        <w:trPr>
          <w:trHeight w:val="567"/>
        </w:trPr>
        <w:tc>
          <w:tcPr>
            <w:tcW w:type="dxa" w:w="3000"/>
          </w:tcPr>
          <w:p>
            <w:r>
              <w:t>Numéro d'Identification</w:t>
            </w:r>
          </w:p>
        </w:tc>
        <w:tc>
          <w:tcPr>
            <w:tcW w:type="dxa" w:w="7000"/>
          </w:tcPr>
          <w:p>
            <w:r>
              <w:t>2729899081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bactériologie diagnostique/ diagnostic microbiologique/ </w:t>
            </w:r>
          </w:p>
        </w:tc>
      </w:tr>
    </w:tbl>
    <w:p>
      <w:pPr>
        <w:pStyle w:val="Heading3"/>
      </w:pPr>
      <w:r>
        <w:t>Résumé :</w:t>
      </w:r>
    </w:p>
    <w:p>
      <w:r>
        <w:t>Cet ouvrage constitue un outil précieux pour comprendre la bactériologie clinique moderne, offrant des connaissances approfondies sur les bactéries pathogènes et leur impact sur la santé humaine. Pour un résumé plus précis et détaillé, il serait préférable de consulter directement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