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Breda, faire la ville durable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Masboungi, Ariella/ Gravelaine, Frédérique 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le Moniteur/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Projet urbain(N°:None)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9782281194128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Urbanisme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breda (Pays-Bas)/ politique urbaine/ </w:t>
            </w:r>
          </w:p>
        </w:tc>
      </w:tr>
    </w:tbl>
    <w:p>
      <w:pPr>
        <w:pStyle w:val="Heading3"/>
      </w:pPr>
      <w:r>
        <w:t>Résumé :</w:t>
      </w:r>
    </w:p>
    <w:p>
      <w:r>
        <w:t>Tous les territoires ont droit à une qualité durable.</w:t>
        <w:br/>
        <w:br/>
        <w:br/>
        <w:br/>
        <w:t>Ce livre explique comment passer de l'écoquartier à la construction d'une vraie ville durable pour tous ; c'est-à-dire une ville qui se distingue par sa qualité environnementale, le plaisir de la vie quotidienne, son charme, son audace, sa diversité d'activités culturelles et économiques - une ville qui sait fabriquer des limites franches avec la nature offrant poésie et rapport à l'incommensurable.</w:t>
        <w:br/>
        <w:br/>
        <w:br/>
        <w:br/>
        <w:t>L'exemple de la ville néerlandaise de Breda est à ce titre éloquent, prouvant aussi que la ville durable est rentable et facteur de dynamique sociale et économique, à condition d'être pragmatique et inventif.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