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Pollutions accidentelles routières et autoroutières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Jean-Claude/ Roux, Jean-Claude/ </w:t>
            </w:r>
          </w:p>
        </w:tc>
      </w:tr>
      <w:tr>
        <w:trPr>
          <w:trHeight w:val="567"/>
        </w:trPr>
        <w:tc>
          <w:tcPr>
            <w:tcW w:type="dxa" w:w="3000"/>
          </w:tcPr>
          <w:p>
            <w:r>
              <w:t>Adresse bib.</w:t>
            </w:r>
          </w:p>
        </w:tc>
        <w:tc>
          <w:tcPr>
            <w:tcW w:type="dxa" w:w="7000"/>
          </w:tcPr>
          <w:p>
            <w:r>
              <w:t xml:space="preserve">Éd. BRGM/ </w:t>
            </w:r>
          </w:p>
        </w:tc>
      </w:tr>
      <w:tr>
        <w:trPr>
          <w:trHeight w:val="567"/>
        </w:trPr>
        <w:tc>
          <w:tcPr>
            <w:tcW w:type="dxa" w:w="3000"/>
          </w:tcPr>
          <w:p>
            <w:r>
              <w:t>Nombre de Pages</w:t>
            </w:r>
          </w:p>
        </w:tc>
        <w:tc>
          <w:tcPr>
            <w:tcW w:type="dxa" w:w="7000"/>
          </w:tcPr>
          <w:p>
            <w:r>
              <w:t>ill., couv. ill. en coul.</w:t>
            </w:r>
          </w:p>
        </w:tc>
      </w:tr>
      <w:tr>
        <w:trPr>
          <w:trHeight w:val="567"/>
        </w:trPr>
        <w:tc>
          <w:tcPr>
            <w:tcW w:type="dxa" w:w="3000"/>
          </w:tcPr>
          <w:p>
            <w:r>
              <w:t>Illustration</w:t>
            </w:r>
          </w:p>
        </w:tc>
        <w:tc>
          <w:tcPr>
            <w:tcW w:type="dxa" w:w="7000"/>
          </w:tcPr>
          <w:p>
            <w:r>
              <w:t>257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Manuels et méthodes(N°:36)</w:t>
            </w:r>
          </w:p>
        </w:tc>
      </w:tr>
      <w:tr>
        <w:trPr>
          <w:trHeight w:val="567"/>
        </w:trPr>
        <w:tc>
          <w:tcPr>
            <w:tcW w:type="dxa" w:w="3000"/>
          </w:tcPr>
          <w:p>
            <w:r>
              <w:t>Notes Générales</w:t>
            </w:r>
          </w:p>
        </w:tc>
        <w:tc>
          <w:tcPr>
            <w:tcW w:type="dxa" w:w="7000"/>
          </w:tcPr>
          <w:p>
            <w:r>
              <w:t>Bibliogr. p.p. 253. Glossaire</w:t>
            </w:r>
          </w:p>
        </w:tc>
      </w:tr>
      <w:tr>
        <w:trPr>
          <w:trHeight w:val="567"/>
        </w:trPr>
        <w:tc>
          <w:tcPr>
            <w:tcW w:type="dxa" w:w="3000"/>
          </w:tcPr>
          <w:p>
            <w:r>
              <w:t>Numéro d'Identification</w:t>
            </w:r>
          </w:p>
        </w:tc>
        <w:tc>
          <w:tcPr>
            <w:tcW w:type="dxa" w:w="7000"/>
          </w:tcPr>
          <w:p>
            <w:r>
              <w:t>2-7159-0885-7</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eaux souterraines/ pollution/ environnement/ </w:t>
            </w:r>
          </w:p>
        </w:tc>
      </w:tr>
    </w:tbl>
    <w:p>
      <w:pPr>
        <w:pStyle w:val="Heading3"/>
      </w:pPr>
      <w:r>
        <w:t>Résumé :</w:t>
      </w:r>
    </w:p>
    <w:p>
      <w:r>
        <w:t>Cet ouvrage s'adresse aux spécialistes chargés de la police de l'eau. Après une présentation de notions générales sur les eaux souterraines et leur vulnérabilité aux pollutions ainsi que des caractéristiques physiques, de la toxicité et du comportement dans le sol de s produits transportés par route, l'ouvrage aborde les moyens de prévention sur la chaussée et hors de son emprise, et les méthodes d'intervention et de décontamination des sols et des eaux souterraines à mettre en oeuvre à la suite d'une pollution accidentelle.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