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l'eau et des hommes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Bethemont, Jacques/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Bordas études.  Géographie(N°:None)</w:t>
            </w:r>
          </w:p>
        </w:tc>
      </w:tr>
      <w:tr>
        <w:trPr>
          <w:trHeight w:val="567"/>
        </w:trPr>
        <w:tc>
          <w:tcPr>
            <w:tcW w:type="dxa" w:w="3000"/>
          </w:tcPr>
          <w:p>
            <w:r>
              <w:t>Notes Générales</w:t>
            </w:r>
          </w:p>
        </w:tc>
        <w:tc>
          <w:tcPr>
            <w:tcW w:type="dxa" w:w="7000"/>
          </w:tcPr>
          <w:p>
            <w:r>
              <w:t>Bibliogr. p.p. 269-276</w:t>
            </w:r>
          </w:p>
        </w:tc>
      </w:tr>
      <w:tr>
        <w:trPr>
          <w:trHeight w:val="567"/>
        </w:trPr>
        <w:tc>
          <w:tcPr>
            <w:tcW w:type="dxa" w:w="3000"/>
          </w:tcPr>
          <w:p>
            <w:r>
              <w:t>Numéro d'Identification</w:t>
            </w:r>
          </w:p>
        </w:tc>
        <w:tc>
          <w:tcPr>
            <w:tcW w:type="dxa" w:w="7000"/>
          </w:tcPr>
          <w:p>
            <w:r>
              <w:t>2040001298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utilisation d'eau/ essai géographique/ </w:t>
            </w:r>
          </w:p>
        </w:tc>
      </w:tr>
    </w:tbl>
    <w:p>
      <w:pPr>
        <w:pStyle w:val="Heading3"/>
      </w:pPr>
      <w:r>
        <w:t>Résumé :</w:t>
      </w:r>
    </w:p>
    <w:p>
      <w:r>
        <w:t>L'auteur analyse la relation fondamentale entre les sociétés humaines et les eaux continentales, en soulignant la répartition inégale et les contraintes hydrologiques qui en découlent. L’auteur montre comment les techniques d’aménagement — irrigation, barrages, transferts, adduction — structurent les territoires et génèrent parfois des conflits d’usage entre agriculture, villes, industrie et environnement. L’eau apparaît comme un véritable acteur géographique, façonnant les paysages autant qu’elle est transformée par les interventions humaines. Béthemont conclut sur la nécessité d’une gestion durable et intégrée face aux pressions démographiques, climatiques et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