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poissons des eaux continentales africaines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Lévêque, Christian/ Paugy, Didier/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IRD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472-532.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2709915898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aquaculture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Ressource halieutique/ </w:t>
            </w:r>
          </w:p>
        </w:tc>
      </w:tr>
    </w:tbl>
    <w:p>
      <w:pPr>
        <w:pStyle w:val="Heading3"/>
      </w:pPr>
      <w:r>
        <w:t>Résumé :</w:t>
      </w:r>
    </w:p>
    <w:p>
      <w:r>
        <w:t>Les poissons constituent à la fois un héritage de l'évolution particulièrement menacé par les activités humaines et un ensemble de ressources biologiques à préserver sur le long terme. L'adoption de la Convention sur la diversité biologique marque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