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pharmaceutique. Tome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Gherib,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hétérocycles azotés/ alcaloïdes/ </w:t>
            </w:r>
          </w:p>
        </w:tc>
      </w:tr>
    </w:tbl>
    <w:p>
      <w:pPr>
        <w:pStyle w:val="Heading3"/>
      </w:pPr>
      <w:r>
        <w:t>Résumé :</w:t>
      </w:r>
    </w:p>
    <w:p>
      <w:r>
        <w:t>Le Tome 5 de cet ouvrage de chimie organique pharmaceutique est typiquement consacré à l'étude approfondie des grandes familles de molécules organiques possédant une activité biologique, avec une forte orientation vers la synthèse, la structure et l'action des substances médicamenteuses.</w:t>
        <w:br/>
        <w:br/>
        <w:t>Il se focalise probablement sur des hétérocycles azotés, des composés naturels complexes, ou des classes de médicaments d'intérêt majeur qui n'ont pas été abordées dans les volumes précédents.</w:t>
        <w:br/>
        <w:br/>
        <w:br/>
        <w:br/>
        <w:t>Le contenu comprendrait :</w:t>
        <w:br/>
        <w:br/>
        <w:br/>
        <w:br/>
        <w:t>L'étude monographique des structures chimiques et des propriétés physico-chimiques des molécules.</w:t>
        <w:br/>
        <w:br/>
        <w:br/>
        <w:br/>
        <w:t>Les principes de la relation structure-activité (RSA) : comment une modification chimique sur la molécule influence son activité pharmacologique.</w:t>
        <w:br/>
        <w:br/>
        <w:t>Les voies de synthèse des molécules pharmaceutiques importantes, illustrant les défis de la chimie de 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