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cultures intermédiaires pour une production agricole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Institut national de la recherche agronomique (France)/ Chemineau, Philippe/ </w:t>
            </w:r>
          </w:p>
        </w:tc>
      </w:tr>
      <w:tr>
        <w:trPr>
          <w:trHeight w:val="567"/>
        </w:trPr>
        <w:tc>
          <w:tcPr>
            <w:tcW w:type="dxa" w:w="3000"/>
          </w:tcPr>
          <w:p>
            <w:r>
              <w:t>Adresse bib.</w:t>
            </w:r>
          </w:p>
        </w:tc>
        <w:tc>
          <w:tcPr>
            <w:tcW w:type="dxa" w:w="7000"/>
          </w:tcPr>
          <w:p>
            <w:r>
              <w:t xml:space="preserve">Éd. Quae/ </w:t>
            </w:r>
          </w:p>
        </w:tc>
      </w:tr>
      <w:tr>
        <w:trPr>
          <w:trHeight w:val="567"/>
        </w:trPr>
        <w:tc>
          <w:tcPr>
            <w:tcW w:type="dxa" w:w="3000"/>
          </w:tcPr>
          <w:p>
            <w:r>
              <w:t>Nombre de Pages</w:t>
            </w:r>
          </w:p>
        </w:tc>
        <w:tc>
          <w:tcPr>
            <w:tcW w:type="dxa" w:w="7000"/>
          </w:tcPr>
          <w:p>
            <w:r>
              <w:t>105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Collection Matière à débattre et décider(N°:None)</w:t>
            </w:r>
          </w:p>
        </w:tc>
      </w:tr>
      <w:tr>
        <w:trPr>
          <w:trHeight w:val="567"/>
        </w:trPr>
        <w:tc>
          <w:tcPr>
            <w:tcW w:type="dxa" w:w="3000"/>
          </w:tcPr>
          <w:p>
            <w:r>
              <w:t>Notes Générales</w:t>
            </w:r>
          </w:p>
        </w:tc>
        <w:tc>
          <w:tcPr>
            <w:tcW w:type="dxa" w:w="7000"/>
          </w:tcPr>
          <w:p>
            <w:r>
              <w:t>Bibliogr. p.p.  98-104</w:t>
            </w:r>
          </w:p>
        </w:tc>
      </w:tr>
      <w:tr>
        <w:trPr>
          <w:trHeight w:val="567"/>
        </w:trPr>
        <w:tc>
          <w:tcPr>
            <w:tcW w:type="dxa" w:w="3000"/>
          </w:tcPr>
          <w:p>
            <w:r>
              <w:t>Numéro d'Identification</w:t>
            </w:r>
          </w:p>
        </w:tc>
        <w:tc>
          <w:tcPr>
            <w:tcW w:type="dxa" w:w="7000"/>
          </w:tcPr>
          <w:p>
            <w:r>
              <w:t>9782759220229</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Agriculture durable/ Protection des sols/ Teneur en nitrates/ </w:t>
            </w:r>
          </w:p>
        </w:tc>
      </w:tr>
    </w:tbl>
    <w:p>
      <w:pPr>
        <w:pStyle w:val="Heading3"/>
      </w:pPr>
      <w:r>
        <w:t>Résumé :</w:t>
      </w:r>
    </w:p>
    <w:p>
      <w:r>
        <w:t>Dans le cadre de la préparation du 5e programme d'action « directive européenne Nitrate », les ministères chargés de l'Ecologie et de l'Agriculture ont sollicité l'Inra pour faire le point des acquis, des incertitudes et des questions à approfondir sur la gestion de l'azote durant l'interculture. L'étude, qui s'appuie sur une analyse bibliographique et sur l'utilisation de simulations, démontre l'efficacité des CIPAN dans la plupart des situations. Elle évalue le niveau d'efficacité « piège à nitrate » en fonction des contextes pédoclimatiques et des pratiques, et dresse le bilan des éventuels impacts négatifs et des autres services écosystémiques : réduction de l'érosion hydrique, séquestration de carbone, impact sur les gaz à effet de serre, contribution au contrôle des adventices, maladies et ravageurs,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