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matière médicale.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Paris, René Raymond/ Moyse, Hélène/ </w:t>
            </w:r>
          </w:p>
        </w:tc>
      </w:tr>
      <w:tr>
        <w:trPr>
          <w:trHeight w:val="567"/>
        </w:trPr>
        <w:tc>
          <w:tcPr>
            <w:tcW w:type="dxa" w:w="3000"/>
          </w:tcPr>
          <w:p>
            <w:r>
              <w:t>Edition</w:t>
            </w:r>
          </w:p>
        </w:tc>
        <w:tc>
          <w:tcPr>
            <w:tcW w:type="dxa" w:w="7000"/>
          </w:tcPr>
          <w:p>
            <w:r>
              <w:t>2 éd. révisée</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420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de précis de pharmacie(N°:None)</w:t>
            </w:r>
          </w:p>
        </w:tc>
      </w:tr>
      <w:tr>
        <w:trPr>
          <w:trHeight w:val="567"/>
        </w:trPr>
        <w:tc>
          <w:tcPr>
            <w:tcW w:type="dxa" w:w="3000"/>
          </w:tcPr>
          <w:p>
            <w:r>
              <w:t>Notes Générales</w:t>
            </w:r>
          </w:p>
        </w:tc>
        <w:tc>
          <w:tcPr>
            <w:tcW w:type="dxa" w:w="7000"/>
          </w:tcPr>
          <w:p>
            <w:r>
              <w:t>Index p.p. 407-420</w:t>
            </w:r>
          </w:p>
        </w:tc>
      </w:tr>
      <w:tr>
        <w:trPr>
          <w:trHeight w:val="567"/>
        </w:trPr>
        <w:tc>
          <w:tcPr>
            <w:tcW w:type="dxa" w:w="3000"/>
          </w:tcPr>
          <w:p>
            <w:r>
              <w:t>Numéro d'Identification</w:t>
            </w:r>
          </w:p>
        </w:tc>
        <w:tc>
          <w:tcPr>
            <w:tcW w:type="dxa" w:w="7000"/>
          </w:tcPr>
          <w:p>
            <w:r>
              <w:t>2225427240</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615/ </w:t>
            </w:r>
          </w:p>
        </w:tc>
      </w:tr>
      <w:tr>
        <w:trPr>
          <w:trHeight w:val="567"/>
        </w:trPr>
        <w:tc>
          <w:tcPr>
            <w:tcW w:type="dxa" w:w="3000"/>
          </w:tcPr>
          <w:p>
            <w:r>
              <w:t>Sujet(s)</w:t>
            </w:r>
          </w:p>
        </w:tc>
        <w:tc>
          <w:tcPr>
            <w:tcW w:type="dxa" w:w="7000"/>
          </w:tcPr>
          <w:p>
            <w:r>
              <w:t xml:space="preserve">pharmacognosie./ drogue végétale/ </w:t>
            </w:r>
          </w:p>
        </w:tc>
      </w:tr>
    </w:tbl>
    <w:p>
      <w:pPr>
        <w:pStyle w:val="Heading3"/>
      </w:pPr>
      <w:r>
        <w:t>Résumé :</w:t>
      </w:r>
    </w:p>
    <w:p>
      <w:r>
        <w:t>Cet ouvrage est un manuel didactique destiné aux étudiants en pharmacie. Il couvre les bases fondamentales de la pharmacognosie (l'étude des drogues d'origine naturelle, principalement végétale, utilisées à des fins thérapeutiques) et initie à la description monographique des plantes médicinales et des substances naturelles.</w:t>
        <w:br/>
        <w:br/>
        <w:br/>
        <w:br/>
        <w:t>Le Tome 1 est généralement structuré autour de deux grandes parties :</w:t>
        <w:br/>
        <w:br/>
        <w:br/>
        <w:br/>
        <w:t>Pharmacognosie Générale : Cette section introduit les concepts de base. Elle définit la matière médicale, la drogue végétale, la plante médicinale et ses différents constituants (les principes actifs). Elle aborde les méthodes d'obtention, d'identification, de contrôle de qualité et d'analyse des drogues naturelles. Elle peut aussi couvrir les grandes classes chimiques de principes actifs (glucides, lipides, hétérosides, etc.)</w:t>
        <w:br/>
        <w:br/>
        <w:br/>
        <w:br/>
        <w:t>Pharmacognosie Spéciale (Début) : Cette partie consiste en des monographies (descriptions détaillées) de drogues végétales spécifiques, classées en général selon leur nature chimique (par exemple, les plantes à glucides, à lipides, à huiles essentielles) ou leur classification botanique (par exemple, les Thallophytes, les Cryptogames vasculaires, les Phanérogames).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