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L'évaluation des impacts sur l'environnement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Andre, Pierre/ Delisle, Claude E./ Revéret,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9782553011320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</w:t>
            </w:r>
          </w:p>
        </w:tc>
      </w:tr>
    </w:tbl>
    <w:p>
      <w:pPr>
        <w:pStyle w:val="Heading3"/>
      </w:pPr>
      <w:r>
        <w:t>Résumé :</w:t>
      </w:r>
    </w:p>
    <w:p>
      <w:r>
        <w:t>Un ouvrage qui représente à la fois un fondement conceptuel pour stimuler la réflexion et un coffre à outils pour l'action, une mise au point théorique et un guide pratique" (Pierre Dansereau et Francesco di Castri). Ses dix chapitres peuvent être regroupés en quatre parties : l'historique et la problématique des études d'impact, les acteurs, les méthodes techniques et outils, ainsi que les perspectives. [SDM].</w:t>
        <w:br/>
        <w:br/>
        <w:t>« Moins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