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Manuel de microbiologie clinique bactériologie-virologie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Gourari, Salah/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284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Collection de la faculté de médecine d'Alger(N°:None)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978996122177</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Bactériologie et microbiologie médicale/ </w:t>
            </w:r>
          </w:p>
        </w:tc>
      </w:tr>
      <w:tr>
        <w:trPr>
          <w:trHeight w:val="567"/>
        </w:trPr>
        <w:tc>
          <w:tcPr>
            <w:tcW w:type="dxa" w:w="3000"/>
          </w:tcPr>
          <w:p>
            <w:r>
              <w:t>Sujet(s)</w:t>
            </w:r>
          </w:p>
        </w:tc>
        <w:tc>
          <w:tcPr>
            <w:tcW w:type="dxa" w:w="7000"/>
          </w:tcPr>
          <w:p>
            <w:r>
              <w:t xml:space="preserve">sérologie/ microbiologie clinique/ </w:t>
            </w:r>
          </w:p>
        </w:tc>
      </w:tr>
    </w:tbl>
    <w:p>
      <w:pPr>
        <w:pStyle w:val="Heading3"/>
      </w:pPr>
      <w:r>
        <w:t>Résumé :</w:t>
      </w:r>
    </w:p>
    <w:p>
      <w:r>
        <w:t>Cet ouvrage présente  de manière claire les principaux syndromes cliniques, d’étiologie bactérienne et/ou virale, rencontrés en pratique médicale, ainsi que des notions sur l’antibiothérapie et l’hygiène hospitalière. Ces sujets sont traités le long de 14 chapitres. Divers aspects sont abordés dans ces chapitres, avec une insistance particulière sur la définition des agents étiologiques et la description des modalités du diagnostic microbiologique et des principes de traitement et de prévention. Les objectifs du cours et un résumé sont présentés au début de chaque chapitre, et des références sont données à titre indicatif à la fin des cours. Ce manuel est destiné aux étudiants en Médecine et en Pharmacie, ainsi qu’aux médecins praticiens qui pourront s’y référer dans leur pratique médicale quotidienne.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