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en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Paillé, Jean-Marie/ </w:t>
            </w:r>
          </w:p>
        </w:tc>
      </w:tr>
      <w:tr>
        <w:trPr>
          <w:trHeight w:val="567"/>
        </w:trPr>
        <w:tc>
          <w:tcPr>
            <w:tcW w:type="dxa" w:w="3000"/>
          </w:tcPr>
          <w:p>
            <w:r>
              <w:t>Edition</w:t>
            </w:r>
          </w:p>
        </w:tc>
        <w:tc>
          <w:tcPr>
            <w:tcW w:type="dxa" w:w="7000"/>
          </w:tcPr>
          <w:p>
            <w:r>
              <w:t>2e éd. refondue</w:t>
            </w:r>
          </w:p>
        </w:tc>
      </w:tr>
      <w:tr>
        <w:trPr>
          <w:trHeight w:val="567"/>
        </w:trPr>
        <w:tc>
          <w:tcPr>
            <w:tcW w:type="dxa" w:w="3000"/>
          </w:tcPr>
          <w:p>
            <w:r>
              <w:t>Adresse bib.</w:t>
            </w:r>
          </w:p>
        </w:tc>
        <w:tc>
          <w:tcPr>
            <w:tcW w:type="dxa" w:w="7000"/>
          </w:tcPr>
          <w:p>
            <w:r>
              <w:t xml:space="preserve">AFNOR éditions/ Eyrolles/ </w:t>
            </w:r>
          </w:p>
        </w:tc>
      </w:tr>
      <w:tr>
        <w:trPr>
          <w:trHeight w:val="567"/>
        </w:trPr>
        <w:tc>
          <w:tcPr>
            <w:tcW w:type="dxa" w:w="3000"/>
          </w:tcPr>
          <w:p>
            <w:r>
              <w:t>Nombre de Pages</w:t>
            </w:r>
          </w:p>
        </w:tc>
        <w:tc>
          <w:tcPr>
            <w:tcW w:type="dxa" w:w="7000"/>
          </w:tcPr>
          <w:p>
            <w:r>
              <w:t>XXV-716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Eurocode(N°:None)</w:t>
            </w:r>
          </w:p>
        </w:tc>
      </w:tr>
      <w:tr>
        <w:trPr>
          <w:trHeight w:val="567"/>
        </w:trPr>
        <w:tc>
          <w:tcPr>
            <w:tcW w:type="dxa" w:w="3000"/>
          </w:tcPr>
          <w:p>
            <w:r>
              <w:t>Notes Générales</w:t>
            </w:r>
          </w:p>
        </w:tc>
        <w:tc>
          <w:tcPr>
            <w:tcW w:type="dxa" w:w="7000"/>
          </w:tcPr>
          <w:p>
            <w:r>
              <w:t>ill., couv. ill. en coul.</w:t>
            </w:r>
          </w:p>
        </w:tc>
      </w:tr>
      <w:tr>
        <w:trPr>
          <w:trHeight w:val="567"/>
        </w:trPr>
        <w:tc>
          <w:tcPr>
            <w:tcW w:type="dxa" w:w="3000"/>
          </w:tcPr>
          <w:p>
            <w:r>
              <w:t>Numéro d'Identification</w:t>
            </w:r>
          </w:p>
        </w:tc>
        <w:tc>
          <w:tcPr>
            <w:tcW w:type="dxa" w:w="7000"/>
          </w:tcPr>
          <w:p>
            <w:r>
              <w:t>9782124654352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en béton armé/ Eurocode 2/ </w:t>
            </w:r>
          </w:p>
        </w:tc>
      </w:tr>
    </w:tbl>
    <w:p>
      <w:pPr>
        <w:pStyle w:val="Heading3"/>
      </w:pPr>
      <w:r>
        <w:t>Résumé :</w:t>
      </w:r>
    </w:p>
    <w:p>
      <w:r>
        <w:t>Entièrement refondue et mise à jour, cette édition du guide d'application prend notamment en compte les ultimes modifications apportées aux articles de l'Eurocode 2 (révision 4) publiées par l'Afnor en 2013, ainsi que l'annexe nationale (révisée pour la première fois depuis 2007).. Améliorés et enrichis à l'appui de l'enseignement délivré par l'auteur, les exercices ont eux aussi été revus sur la base des dernières réflexions du groupe de la commission française de l'Eurocode 2, lesquelles ont abouti à la rédaction de nouvelles recommandations professionnelles relatives à l'interprétation de l'Eurocode. Traitant de nouveaux sujets, ces recommandations ont elles aussi été intégrées à la refonte du présent volume.. Les fichiers de calcul des exercices sont librement disponibles à l'adresse du présent ouvrage dans le catalogue en ligne des éditions Eyrolles.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