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Bétons de sable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Projet national de recherche-développement SABLOCRETE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 ,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221-227</w:t>
            </w:r>
          </w:p>
        </w:tc>
      </w:tr>
      <w:tr>
        <w:trPr>
          <w:trHeight w:val="567"/>
        </w:trPr>
        <w:tc>
          <w:tcPr>
            <w:tcW w:type="dxa" w:w="3000"/>
          </w:tcPr>
          <w:p>
            <w:r>
              <w:t>Numéro d'Identification</w:t>
            </w:r>
          </w:p>
        </w:tc>
        <w:tc>
          <w:tcPr>
            <w:tcW w:type="dxa" w:w="7000"/>
          </w:tcPr>
          <w:p>
            <w:r>
              <w:t>2859782214</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de sable/ </w:t>
            </w:r>
          </w:p>
        </w:tc>
      </w:tr>
    </w:tbl>
    <w:p>
      <w:pPr>
        <w:pStyle w:val="Heading3"/>
      </w:pPr>
      <w:r>
        <w:t>Résumé :</w:t>
      </w:r>
    </w:p>
    <w:p>
      <w:r>
        <w:t>Cet ouvrage est l'aboutissement de six ans de travail et de la collaboration exemplaire de tous ces intervenants. Il s'appuie sur vingt-huit actions de recherches approfondies et trente opérations expérimentales et pilotes, largement évoquées dans le texte.</w:t>
        <w:br/>
        <w:br/>
        <w:t>Il a été conçu comme une synthèse des connaissances acquises sur le sujet. Certes, le sujet est loin d'être épuisé. De même que pour le béton traditionnel et les nouveaux bétons, des générations de chercheurs vont devoir approfondir et affiner ces travaux.</w:t>
        <w:br/>
        <w:br/>
        <w:t>Dans l'immédiat, il doit être simplement considéré comme un guide destiné aux futurs utilisateurs des bétons de sable. Puissent-ils y trouver les informations qu'ils recherchent.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