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Sexualité et reproduction des poissons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Mellinger, Jean/ </w:t>
            </w:r>
          </w:p>
        </w:tc>
      </w:tr>
      <w:tr>
        <w:trPr>
          <w:trHeight w:val="567"/>
        </w:trPr>
        <w:tc>
          <w:tcPr>
            <w:tcW w:type="dxa" w:w="3000"/>
          </w:tcPr>
          <w:p>
            <w:r>
              <w:t>Adresse bib.</w:t>
            </w:r>
          </w:p>
        </w:tc>
        <w:tc>
          <w:tcPr>
            <w:tcW w:type="dxa" w:w="7000"/>
          </w:tcPr>
          <w:p>
            <w:r>
              <w:t xml:space="preserve">CNRS éd./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2271059615</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poissons/ </w:t>
            </w:r>
          </w:p>
        </w:tc>
      </w:tr>
    </w:tbl>
    <w:p>
      <w:pPr>
        <w:pStyle w:val="Heading3"/>
      </w:pPr>
      <w:r>
        <w:t>Résumé :</w:t>
      </w:r>
    </w:p>
    <w:p>
      <w:r>
        <w:t>Les poissons au sens large (Agnathes inclus) se sont adaptés à tous les milieux aquatiques en un demi- milliard d’années d’évolution biologique. Leur extrême diversité se manifeste, en particulier, dans leurs modes de reproduction et de développement. Cet ouvrage décrit la partie du cycle biologique des poissons qui va de l’origine des cellules germinales jusqu’à la fécondation (d’où le titre : "Du poisson jusqu’à l’œuf") , en mettant en évidence les adaptations et les contraintes liées à l’anatomie, à l’environnement et aux stratégies démographiques des divers taxons. Les préoccupations de la pisciculture ne sont pas oubliées. Le lecteur non spécialisé y trouvera les initiations indispensables, et le chercheur les références bibliographiques les plus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