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Isolation thermique. T1, le Règlement de construction, l'isolation thermique et l'aération des bâtiments d'habitation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Bondil, Albert/ Hrabovsky,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960/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règlement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L’objectif fondamental de cet ouvrage est de maîtriser l’énergie dans le secteur du bâtiment, c’est-à-dire concevoir des logements qui consomment moins de chauffage ou de climatisation, tout en assurant un confort thermique et une qualité d’air acceptables.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