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Isolation thermique. T1, le règlement de construction, l'isolation thermique et l'aération des bâtiments d'habitation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Bondil, Albert/ Hrabovsky,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thermique/ règlement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L’objectif fondamental de cet ouvrage est de maîtriser l’énergie dans le secteur du bâtiment, c’est-à-dire concevoir des logements qui consomment moins de chauffage ou de climatisation, tout en assurant un confort thermique et une qualité d’air acceptables.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