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Neurophysiologie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Richard, Daniel/ Orsal, Didier/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540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Bibliogr. p. 529-532. Index</w:t>
            </w:r>
          </w:p>
        </w:tc>
      </w:tr>
      <w:tr>
        <w:trPr>
          <w:trHeight w:val="567"/>
        </w:trPr>
        <w:tc>
          <w:tcPr>
            <w:tcW w:type="dxa" w:w="3000"/>
          </w:tcPr>
          <w:p>
            <w:r>
              <w:t>Numéro d'Identification</w:t>
            </w:r>
          </w:p>
        </w:tc>
        <w:tc>
          <w:tcPr>
            <w:tcW w:type="dxa" w:w="7000"/>
          </w:tcPr>
          <w:p>
            <w:r>
              <w:t>9782100513802</w:t>
            </w:r>
          </w:p>
        </w:tc>
      </w:tr>
      <w:tr>
        <w:trPr>
          <w:trHeight w:val="567"/>
        </w:trPr>
        <w:tc>
          <w:tcPr>
            <w:tcW w:type="dxa" w:w="3000"/>
          </w:tcPr>
          <w:p>
            <w:r>
              <w:t>Thème</w:t>
            </w:r>
          </w:p>
        </w:tc>
        <w:tc>
          <w:tcPr>
            <w:tcW w:type="dxa" w:w="7000"/>
          </w:tcPr>
          <w:p>
            <w:r>
              <w:t>Médecine</w:t>
            </w:r>
          </w:p>
        </w:tc>
      </w:tr>
      <w:tr>
        <w:trPr>
          <w:trHeight w:val="567"/>
        </w:trPr>
        <w:tc>
          <w:tcPr>
            <w:tcW w:type="dxa" w:w="3000"/>
          </w:tcPr>
          <w:p>
            <w:r>
              <w:t>Classification(s)</w:t>
            </w:r>
          </w:p>
        </w:tc>
        <w:tc>
          <w:tcPr>
            <w:tcW w:type="dxa" w:w="7000"/>
          </w:tcPr>
          <w:p>
            <w:r>
              <w:t xml:space="preserve">Médecine et santé (bases de données médicales non bibliographiques, ouvrages étudiant à la fois les professions médicales et les professions connexes, ouvrages généraux sur l'ostéopathie considérée comme science médicale, sciences médicales, technolo/ </w:t>
            </w:r>
          </w:p>
        </w:tc>
      </w:tr>
      <w:tr>
        <w:trPr>
          <w:trHeight w:val="567"/>
        </w:trPr>
        <w:tc>
          <w:tcPr>
            <w:tcW w:type="dxa" w:w="3000"/>
          </w:tcPr>
          <w:p>
            <w:r>
              <w:t>Sujet(s)</w:t>
            </w:r>
          </w:p>
        </w:tc>
        <w:tc>
          <w:tcPr>
            <w:tcW w:type="dxa" w:w="7000"/>
          </w:tcPr>
          <w:p>
            <w:r>
              <w:t xml:space="preserve">neurophysiologie/ système nerveux/ </w:t>
            </w:r>
          </w:p>
        </w:tc>
      </w:tr>
    </w:tbl>
    <w:p>
      <w:pPr>
        <w:pStyle w:val="Heading3"/>
      </w:pPr>
      <w:r>
        <w:t>Résumé :</w:t>
      </w:r>
    </w:p>
    <w:p>
      <w:r>
        <w:t>Cette troisième édition a été profondément enrichie en fonction des données récentes de la biologie moléculaire et de la génétique. Les mécanismes moléculaires impliqués dans la transmission synaptique ou dans le codage de l'information sensorielle ont, en particulier, fait l'objet de nombreuses recherches ces dernières années dont les principaux résultats ont été intégrés. Abondamment illustré, complété par des encarts fournissant rappels, données complémentaires et indications utiles sur les techniques d'investigation.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