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différentes propriétés (structurales, électroniques, optiques et magnétiques) des nanoribbons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Khouloud/ Kadri, Med Tahar     /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germanène/ passivation des bords/ low-buckled/ </w:t>
            </w:r>
          </w:p>
        </w:tc>
      </w:tr>
    </w:tbl>
    <w:p>
      <w:pPr>
        <w:pStyle w:val="Heading3"/>
      </w:pPr>
      <w:r>
        <w:t>Résumé :</w:t>
      </w:r>
    </w:p>
    <w:p>
      <w:r>
        <w:t>Cette étude utilise la densité fonctionnelle (DFT) pour explorer les propriétés structurales, électroniques et optiques de nanorubans de germanène (GeNR). Nos travaux se concentrent sur des GeNR avec des bords en fauteuil (7-AGeNR) et en zigzag (5-ZGeNR), dont les terminaisons sont modifiées par de l'hydrogène et des halogènes (I, Br, Cl, F et H). Sur le plan structural, la taille des atomes de terminaison affecte la longueur de la liaison (Ge-Ge=2,44 Å) et l'ondulation du ruban (∆=0,69Å), les halogènes plus gros augmentant cette longueur. Concernant les propriétés électroniques, la terminaison des bords crée un gap électronique, le 7-AGeNR-F ayant le gap le plus élevé à 0,60 eV, contre 0,37 eV pour le 7-AGeNR-I. Enfin, l'étude révèle une anisotropie marquée des propriétés optiques du 7-AGeNR et du 5-ZGeNR, avec de fonctions diélectriques, de spectres d'absorption et de réflectivité. La capacité à moduler ces propriétés suggère que les GeNR pourraient être utilisés dans des dispositifs optoélectroniques tels que les détecteurs IR, les capteurs UV et les systèmes photovoltaïques.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