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Sites et sols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Corfec,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9782100538928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évaluation du risque/ environnement/ </w:t>
            </w:r>
          </w:p>
        </w:tc>
      </w:tr>
    </w:tbl>
    <w:p>
      <w:pPr>
        <w:pStyle w:val="Heading3"/>
      </w:pPr>
      <w:r>
        <w:t>Résumé :</w:t>
      </w:r>
    </w:p>
    <w:p>
      <w:r>
        <w:t>La gestion durable des ressources du sol et du sous-sol constitue l’une des plus anciennes thématiques environnementales de nos sociétés. Cependant il n’existe aujourd’hui aucun cadre réglementaire formel régissant les bonnes pratiques, ni au plan national, ni pour l’heure à l’échelle européenne. Ce constat de carence traduit la complexité des enjeux, la multiplicité des acteurs et la difficulté de définir des objectifs communs. Si le fondement essentiel des politiques « sites et sols pollués » reste la sécurité sanitaire des populations susceptibles d’être exposées, les traductions pratiques de ces principes restent toujours délicates tant sur les plans scientifiques que techniques et financiers. Cet ouvrage propose une synthèse de l’ensemble des notions indispensables à la compréhension des enjeux sur la gestion des sites et sols pollués : cadre réglementaire, toxicologie et écotoxicologie, caractérisation, gestion environnementale,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